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38A452" w14:textId="5DE05141" w:rsidR="00586FAA" w:rsidRDefault="006C77D2">
      <w:pPr>
        <w:spacing w:line="600" w:lineRule="exact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</w:t>
      </w:r>
      <w:r w:rsidR="009D2844">
        <w:rPr>
          <w:rFonts w:ascii="仿宋" w:eastAsia="仿宋" w:hAnsi="仿宋" w:cs="仿宋"/>
          <w:sz w:val="32"/>
          <w:szCs w:val="32"/>
        </w:rPr>
        <w:t>1</w:t>
      </w:r>
      <w:bookmarkStart w:id="0" w:name="_GoBack"/>
      <w:bookmarkEnd w:id="0"/>
      <w:r>
        <w:rPr>
          <w:rFonts w:ascii="仿宋" w:eastAsia="仿宋" w:hAnsi="仿宋" w:cs="仿宋" w:hint="eastAsia"/>
          <w:sz w:val="32"/>
          <w:szCs w:val="32"/>
        </w:rPr>
        <w:t>：</w:t>
      </w:r>
    </w:p>
    <w:p w14:paraId="1804801C" w14:textId="77777777" w:rsidR="00586FAA" w:rsidRDefault="006C77D2">
      <w:pPr>
        <w:spacing w:line="600" w:lineRule="exact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嘉禾</w:t>
      </w:r>
      <w:r>
        <w:rPr>
          <w:rFonts w:ascii="黑体" w:eastAsia="黑体" w:hAnsi="黑体" w:hint="eastAsia"/>
          <w:sz w:val="36"/>
          <w:szCs w:val="36"/>
        </w:rPr>
        <w:t>农村商业银行股份有限公司</w:t>
      </w:r>
    </w:p>
    <w:p w14:paraId="7FB36CFD" w14:textId="709DDE12" w:rsidR="00586FAA" w:rsidRDefault="006C77D2">
      <w:pPr>
        <w:spacing w:line="600" w:lineRule="exact"/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黑体" w:eastAsia="黑体" w:hAnsi="黑体" w:hint="eastAsia"/>
          <w:sz w:val="36"/>
          <w:szCs w:val="36"/>
        </w:rPr>
        <w:t>2020</w:t>
      </w:r>
      <w:r>
        <w:rPr>
          <w:rFonts w:ascii="黑体" w:eastAsia="黑体" w:hAnsi="黑体" w:hint="eastAsia"/>
          <w:sz w:val="36"/>
          <w:szCs w:val="36"/>
        </w:rPr>
        <w:t>年</w:t>
      </w:r>
      <w:r w:rsidR="009D2844">
        <w:rPr>
          <w:rFonts w:ascii="黑体" w:eastAsia="黑体" w:hAnsi="黑体" w:hint="eastAsia"/>
          <w:sz w:val="36"/>
          <w:szCs w:val="36"/>
        </w:rPr>
        <w:t>公开</w:t>
      </w:r>
      <w:r>
        <w:rPr>
          <w:rFonts w:ascii="黑体" w:eastAsia="黑体" w:hAnsi="黑体" w:hint="eastAsia"/>
          <w:sz w:val="36"/>
          <w:szCs w:val="36"/>
        </w:rPr>
        <w:t>招聘员工报考专业参考目录</w:t>
      </w:r>
    </w:p>
    <w:p w14:paraId="216924AC" w14:textId="77777777" w:rsidR="00586FAA" w:rsidRDefault="006C77D2">
      <w:pPr>
        <w:spacing w:line="600" w:lineRule="exact"/>
        <w:ind w:leftChars="304" w:left="1598" w:hangingChars="300" w:hanging="96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一、研究生学历</w:t>
      </w:r>
    </w:p>
    <w:p w14:paraId="59B0A2CA" w14:textId="77777777" w:rsidR="00586FAA" w:rsidRDefault="006C77D2">
      <w:pPr>
        <w:spacing w:line="60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经济金融类：产业经济学、经济学、经济统计学、数量经济学、国际经济与贸易、世界经济、贸易经济、国民经济管理、区域经济学、应用经济学、财政学、商务经济学、信用管理、国际贸易学、投资管理、金融学、金融工程学、货币银行学、保险学、投资学、公司理财</w:t>
      </w:r>
      <w:r>
        <w:rPr>
          <w:rFonts w:ascii="仿宋" w:eastAsia="仿宋" w:hAnsi="仿宋" w:cs="仿宋" w:hint="eastAsia"/>
          <w:sz w:val="32"/>
          <w:szCs w:val="32"/>
        </w:rPr>
        <w:t>(</w:t>
      </w:r>
      <w:r>
        <w:rPr>
          <w:rFonts w:ascii="仿宋" w:eastAsia="仿宋" w:hAnsi="仿宋" w:cs="仿宋" w:hint="eastAsia"/>
          <w:sz w:val="32"/>
          <w:szCs w:val="32"/>
        </w:rPr>
        <w:t>公司金融</w:t>
      </w:r>
      <w:r>
        <w:rPr>
          <w:rFonts w:ascii="仿宋" w:eastAsia="仿宋" w:hAnsi="仿宋" w:cs="仿宋" w:hint="eastAsia"/>
          <w:sz w:val="32"/>
          <w:szCs w:val="32"/>
        </w:rPr>
        <w:t>)</w:t>
      </w:r>
      <w:r>
        <w:rPr>
          <w:rFonts w:ascii="仿宋" w:eastAsia="仿宋" w:hAnsi="仿宋" w:cs="仿宋" w:hint="eastAsia"/>
          <w:sz w:val="32"/>
          <w:szCs w:val="32"/>
        </w:rPr>
        <w:t>、金融数学、经济与金融、数理金融学、应用金融、国际银行与金融、金融管理、金融与管理、金融市场、管理学金融方向、国际金融公司与银行、金融硕士、国际商务硕士、政治经济学等。</w:t>
      </w:r>
    </w:p>
    <w:p w14:paraId="68620416" w14:textId="77777777" w:rsidR="00586FAA" w:rsidRDefault="006C77D2">
      <w:pPr>
        <w:spacing w:line="60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财务会计类：会计学、财务管理、审计学、财务会计教育、金融与会计、资产评估、会计与金融、会计硕</w:t>
      </w:r>
      <w:r>
        <w:rPr>
          <w:rFonts w:ascii="仿宋" w:eastAsia="仿宋" w:hAnsi="仿宋" w:cs="仿宋" w:hint="eastAsia"/>
          <w:sz w:val="32"/>
          <w:szCs w:val="32"/>
        </w:rPr>
        <w:t>士等。</w:t>
      </w:r>
    </w:p>
    <w:p w14:paraId="13439EA1" w14:textId="77777777" w:rsidR="00586FAA" w:rsidRDefault="006C77D2">
      <w:pPr>
        <w:spacing w:line="60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法学类：法学、法律、法律硕士、经济法、国际法、民商法、民商法学、诉讼法学、经济法学、国际法学、诉讼法、法学理论、宪法学与行政法学、刑法学等。</w:t>
      </w:r>
    </w:p>
    <w:p w14:paraId="242949C7" w14:textId="77777777" w:rsidR="00586FAA" w:rsidRDefault="006C77D2">
      <w:pPr>
        <w:spacing w:line="60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计算机类：电子信息工程、电子科学与技术、通信工程、微电子科学与工程、光电信息科学与工程、信息工程、电信工程及管理、计算机科学与技术、软件工程、网络工程、信息安全、物联网工程、智能科学与技术、电子与计算机工程、模式识别和智能系统、计算机应用技术、计算机系统结构、计算机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软件与理论、信息管理与信息系统、微电子学与固体电子学、电子与通信工程、通信与信息系统、信号与信息</w:t>
      </w:r>
      <w:r>
        <w:rPr>
          <w:rFonts w:ascii="仿宋" w:eastAsia="仿宋" w:hAnsi="仿宋" w:cs="仿宋" w:hint="eastAsia"/>
          <w:sz w:val="32"/>
          <w:szCs w:val="32"/>
        </w:rPr>
        <w:t>处理、计算机技术、信息与通信工程等。</w:t>
      </w:r>
    </w:p>
    <w:p w14:paraId="5F000F1D" w14:textId="77777777" w:rsidR="00586FAA" w:rsidRDefault="006C77D2">
      <w:pPr>
        <w:spacing w:line="60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管理学类：管理科学与工程、农业经济管理、林业经济管理、企业管理、行政管理、管理科学、工程管理、工程管理硕士、工程造价、工商管理、工商管理硕士、公共管理、公共管理硕士、市场营销、人力资源管理、土地资源管理、农林经济管理、农村区域发展、劳动与社会保障、劳动关系、市场营销教育、社会保障、农村与区域发展、市场营销学、图书情报与档案管理、档案学等。</w:t>
      </w:r>
    </w:p>
    <w:p w14:paraId="2050B1BD" w14:textId="77777777" w:rsidR="00586FAA" w:rsidRDefault="006C77D2">
      <w:pPr>
        <w:spacing w:line="60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理学类</w:t>
      </w:r>
      <w:r>
        <w:rPr>
          <w:rFonts w:ascii="仿宋" w:eastAsia="仿宋" w:hAnsi="仿宋" w:cs="仿宋" w:hint="eastAsia"/>
          <w:sz w:val="32"/>
          <w:szCs w:val="32"/>
        </w:rPr>
        <w:t>:</w:t>
      </w:r>
      <w:r>
        <w:rPr>
          <w:rFonts w:ascii="仿宋" w:eastAsia="仿宋" w:hAnsi="仿宋" w:cs="仿宋" w:hint="eastAsia"/>
          <w:sz w:val="32"/>
          <w:szCs w:val="32"/>
        </w:rPr>
        <w:t>应用数学、应用统计、统计学、统计学硕士、基础数学、计算数学、概率论与数理统计、运筹学与控制论等。</w:t>
      </w:r>
    </w:p>
    <w:p w14:paraId="52BF7035" w14:textId="77777777" w:rsidR="00586FAA" w:rsidRDefault="006C77D2">
      <w:pPr>
        <w:spacing w:line="60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土木工程与建筑学类：土木工</w:t>
      </w:r>
      <w:r>
        <w:rPr>
          <w:rFonts w:ascii="仿宋" w:eastAsia="仿宋" w:hAnsi="仿宋" w:cs="仿宋" w:hint="eastAsia"/>
          <w:sz w:val="32"/>
          <w:szCs w:val="32"/>
        </w:rPr>
        <w:t>程、岩土工程、结构工程、市政工程、城乡规划学、建筑学、建筑学硕士、建筑与土木工程、建筑设计及其理论、土木工程规划与管理、城市规划与设计等。</w:t>
      </w:r>
    </w:p>
    <w:p w14:paraId="15408536" w14:textId="77777777" w:rsidR="00586FAA" w:rsidRDefault="006C77D2">
      <w:pPr>
        <w:spacing w:line="60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文学类：文艺学、中国语言文学、语言学及应用语言学、汉语言文字学、中国古代文学、中国当代文学、中国现当代文学、比较文学与世界文学、新闻学、传播学、新闻传播学、新闻与传播、新闻与传播硕士等。</w:t>
      </w:r>
    </w:p>
    <w:p w14:paraId="674327EE" w14:textId="77777777" w:rsidR="00586FAA" w:rsidRDefault="006C77D2">
      <w:pPr>
        <w:spacing w:line="600" w:lineRule="exact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二、大学本科学历</w:t>
      </w:r>
    </w:p>
    <w:p w14:paraId="165FC1F6" w14:textId="77777777" w:rsidR="00586FAA" w:rsidRDefault="006C77D2">
      <w:pPr>
        <w:spacing w:line="60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经济金融类</w:t>
      </w:r>
      <w:r>
        <w:rPr>
          <w:rFonts w:ascii="仿宋" w:eastAsia="仿宋" w:hAnsi="仿宋" w:cs="仿宋" w:hint="eastAsia"/>
          <w:sz w:val="32"/>
          <w:szCs w:val="32"/>
        </w:rPr>
        <w:t>:</w:t>
      </w:r>
      <w:r>
        <w:rPr>
          <w:rFonts w:ascii="仿宋" w:eastAsia="仿宋" w:hAnsi="仿宋" w:cs="仿宋" w:hint="eastAsia"/>
          <w:sz w:val="32"/>
          <w:szCs w:val="32"/>
        </w:rPr>
        <w:t>经济学、经济统计学、金融学、金融工程、保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险学、保险、投资学、国际经济与贸易、贸易经济、国民经济管理、商务经济学、金融数学、经济与金融、信用管理、财政学、税</w:t>
      </w:r>
      <w:r>
        <w:rPr>
          <w:rFonts w:ascii="仿宋" w:eastAsia="仿宋" w:hAnsi="仿宋" w:cs="仿宋" w:hint="eastAsia"/>
          <w:sz w:val="32"/>
          <w:szCs w:val="32"/>
        </w:rPr>
        <w:t>收学、税务等。</w:t>
      </w:r>
    </w:p>
    <w:p w14:paraId="72A0AE71" w14:textId="77777777" w:rsidR="00586FAA" w:rsidRDefault="006C77D2">
      <w:pPr>
        <w:spacing w:line="60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财务会计类</w:t>
      </w:r>
      <w:r>
        <w:rPr>
          <w:rFonts w:ascii="仿宋" w:eastAsia="仿宋" w:hAnsi="仿宋" w:cs="仿宋" w:hint="eastAsia"/>
          <w:sz w:val="32"/>
          <w:szCs w:val="32"/>
        </w:rPr>
        <w:t>:</w:t>
      </w:r>
      <w:r>
        <w:rPr>
          <w:rFonts w:ascii="仿宋" w:eastAsia="仿宋" w:hAnsi="仿宋" w:cs="仿宋" w:hint="eastAsia"/>
          <w:sz w:val="32"/>
          <w:szCs w:val="32"/>
        </w:rPr>
        <w:t>会计学、会计（国际）、财务管理、财务会计教育、资产评估、会计电算化、企业财务管理等。</w:t>
      </w:r>
    </w:p>
    <w:p w14:paraId="1951081C" w14:textId="77777777" w:rsidR="00586FAA" w:rsidRDefault="006C77D2">
      <w:pPr>
        <w:spacing w:line="60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法学类</w:t>
      </w:r>
      <w:r>
        <w:rPr>
          <w:rFonts w:ascii="仿宋" w:eastAsia="仿宋" w:hAnsi="仿宋" w:cs="仿宋" w:hint="eastAsia"/>
          <w:sz w:val="32"/>
          <w:szCs w:val="32"/>
        </w:rPr>
        <w:t>:</w:t>
      </w:r>
      <w:r>
        <w:rPr>
          <w:rFonts w:ascii="仿宋" w:eastAsia="仿宋" w:hAnsi="仿宋" w:cs="仿宋" w:hint="eastAsia"/>
          <w:sz w:val="32"/>
          <w:szCs w:val="32"/>
        </w:rPr>
        <w:t>法学等。</w:t>
      </w:r>
    </w:p>
    <w:p w14:paraId="54B0D2BE" w14:textId="77777777" w:rsidR="00586FAA" w:rsidRDefault="006C77D2">
      <w:pPr>
        <w:spacing w:line="60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计算机类</w:t>
      </w:r>
      <w:r>
        <w:rPr>
          <w:rFonts w:ascii="仿宋" w:eastAsia="仿宋" w:hAnsi="仿宋" w:cs="仿宋" w:hint="eastAsia"/>
          <w:sz w:val="32"/>
          <w:szCs w:val="32"/>
        </w:rPr>
        <w:t>:</w:t>
      </w:r>
      <w:r>
        <w:rPr>
          <w:rFonts w:ascii="仿宋" w:eastAsia="仿宋" w:hAnsi="仿宋" w:cs="仿宋" w:hint="eastAsia"/>
          <w:sz w:val="32"/>
          <w:szCs w:val="32"/>
        </w:rPr>
        <w:t>电子信息工程、电子信息与工程、电子信息工程</w:t>
      </w:r>
      <w:r>
        <w:rPr>
          <w:rFonts w:ascii="仿宋" w:eastAsia="仿宋" w:hAnsi="仿宋" w:cs="仿宋" w:hint="eastAsia"/>
          <w:sz w:val="32"/>
          <w:szCs w:val="32"/>
        </w:rPr>
        <w:t>(</w:t>
      </w:r>
      <w:r>
        <w:rPr>
          <w:rFonts w:ascii="仿宋" w:eastAsia="仿宋" w:hAnsi="仿宋" w:cs="仿宋" w:hint="eastAsia"/>
          <w:sz w:val="32"/>
          <w:szCs w:val="32"/>
        </w:rPr>
        <w:t>金融电子技术</w:t>
      </w:r>
      <w:r>
        <w:rPr>
          <w:rFonts w:ascii="仿宋" w:eastAsia="仿宋" w:hAnsi="仿宋" w:cs="仿宋" w:hint="eastAsia"/>
          <w:sz w:val="32"/>
          <w:szCs w:val="32"/>
        </w:rPr>
        <w:t>)</w:t>
      </w:r>
      <w:r>
        <w:rPr>
          <w:rFonts w:ascii="仿宋" w:eastAsia="仿宋" w:hAnsi="仿宋" w:cs="仿宋" w:hint="eastAsia"/>
          <w:sz w:val="32"/>
          <w:szCs w:val="32"/>
        </w:rPr>
        <w:t>、电子科学与技术、通信工程、微电子科学与工程、光电信息科学与工程、信息工程、电信工程及管理、计算机科学与技术、软件工程、网络工程、信息安全、物联网工程、智能科学与技术、电子与计算机工程、电子信息科学与技术、计算机应用、计算机应用技术、软件开发与项目管理、信息与通信工程、信息科学技术、计算机软件等。</w:t>
      </w:r>
    </w:p>
    <w:p w14:paraId="1E91A22F" w14:textId="77777777" w:rsidR="00586FAA" w:rsidRDefault="006C77D2">
      <w:pPr>
        <w:spacing w:line="60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管理学类</w:t>
      </w:r>
      <w:r>
        <w:rPr>
          <w:rFonts w:ascii="仿宋" w:eastAsia="仿宋" w:hAnsi="仿宋" w:cs="仿宋" w:hint="eastAsia"/>
          <w:sz w:val="32"/>
          <w:szCs w:val="32"/>
        </w:rPr>
        <w:t>:</w:t>
      </w:r>
      <w:r>
        <w:rPr>
          <w:rFonts w:ascii="仿宋" w:eastAsia="仿宋" w:hAnsi="仿宋" w:cs="仿宋" w:hint="eastAsia"/>
          <w:sz w:val="32"/>
          <w:szCs w:val="32"/>
        </w:rPr>
        <w:t>管</w:t>
      </w:r>
      <w:r>
        <w:rPr>
          <w:rFonts w:ascii="仿宋" w:eastAsia="仿宋" w:hAnsi="仿宋" w:cs="仿宋" w:hint="eastAsia"/>
          <w:sz w:val="32"/>
          <w:szCs w:val="32"/>
        </w:rPr>
        <w:t>理科学、信息管理与信息系统、工程管理、工程造价、工商管理、物流管理、旅游管理、市场营销、人力资源管理、审计学、农林经济管理、农村区域发展、劳动与社会保障、劳动关系、市场营销教育、金融管理、资源环境与城乡规划管理、公共关系学、电子商务及法律、行政管理、公共事业管理、档案学、图书管理学等。</w:t>
      </w:r>
    </w:p>
    <w:p w14:paraId="5407B2C6" w14:textId="77777777" w:rsidR="00586FAA" w:rsidRDefault="006C77D2">
      <w:pPr>
        <w:spacing w:line="60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理学类</w:t>
      </w:r>
      <w:r>
        <w:rPr>
          <w:rFonts w:ascii="仿宋" w:eastAsia="仿宋" w:hAnsi="仿宋" w:cs="仿宋" w:hint="eastAsia"/>
          <w:sz w:val="32"/>
          <w:szCs w:val="32"/>
        </w:rPr>
        <w:t>:</w:t>
      </w:r>
      <w:r>
        <w:rPr>
          <w:rFonts w:ascii="仿宋" w:eastAsia="仿宋" w:hAnsi="仿宋" w:cs="仿宋" w:hint="eastAsia"/>
          <w:sz w:val="32"/>
          <w:szCs w:val="32"/>
        </w:rPr>
        <w:t>信息与计算科学、统计学、应用统计学、数学与应用数学等。</w:t>
      </w:r>
    </w:p>
    <w:p w14:paraId="46623DA1" w14:textId="77777777" w:rsidR="00586FAA" w:rsidRDefault="006C77D2">
      <w:pPr>
        <w:spacing w:line="60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土木工程与建筑类：土木工程、建筑环境与能源应用工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程、给排水科学与工程、建筑电气与智能化、建筑学、城乡规划、城市规划、建筑工程、建筑环境与设备工程、道路桥梁工程、</w:t>
      </w:r>
      <w:r>
        <w:rPr>
          <w:rFonts w:ascii="仿宋" w:eastAsia="仿宋" w:hAnsi="仿宋" w:cs="仿宋" w:hint="eastAsia"/>
          <w:sz w:val="32"/>
          <w:szCs w:val="32"/>
        </w:rPr>
        <w:t>城市地下工程、给水排水工程等。</w:t>
      </w:r>
    </w:p>
    <w:p w14:paraId="41E33250" w14:textId="77777777" w:rsidR="00586FAA" w:rsidRDefault="006C77D2">
      <w:pPr>
        <w:spacing w:line="60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文学类：汉语言文学、汉语言、应用语言学、秘书学、文秘学、新闻学、广告学、传播学、网络与新媒体、广播电视新闻学、广播电视学等。</w:t>
      </w:r>
    </w:p>
    <w:p w14:paraId="440E0553" w14:textId="77777777" w:rsidR="00586FAA" w:rsidRDefault="00586FAA">
      <w:pPr>
        <w:pStyle w:val="a3"/>
        <w:ind w:left="0"/>
        <w:rPr>
          <w:sz w:val="30"/>
          <w:szCs w:val="30"/>
        </w:rPr>
      </w:pPr>
    </w:p>
    <w:p w14:paraId="68EF07F5" w14:textId="77777777" w:rsidR="00586FAA" w:rsidRDefault="00586FAA"/>
    <w:p w14:paraId="351134CC" w14:textId="77777777" w:rsidR="00586FAA" w:rsidRDefault="00586FAA"/>
    <w:sectPr w:rsidR="00586FAA">
      <w:footerReference w:type="default" r:id="rId7"/>
      <w:footerReference w:type="first" r:id="rId8"/>
      <w:pgSz w:w="11906" w:h="16838"/>
      <w:pgMar w:top="1871" w:right="1474" w:bottom="1757" w:left="1587" w:header="851" w:footer="992" w:gutter="0"/>
      <w:pgNumType w:fmt="numberInDash"/>
      <w:cols w:space="720"/>
      <w:titlePg/>
      <w:docGrid w:type="lines"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A190F4" w14:textId="77777777" w:rsidR="006C77D2" w:rsidRDefault="006C77D2">
      <w:r>
        <w:separator/>
      </w:r>
    </w:p>
  </w:endnote>
  <w:endnote w:type="continuationSeparator" w:id="0">
    <w:p w14:paraId="35120327" w14:textId="77777777" w:rsidR="006C77D2" w:rsidRDefault="006C7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5E87A4" w14:textId="77777777" w:rsidR="00586FAA" w:rsidRDefault="006C77D2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DA895" wp14:editId="02595D02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277495" cy="162560"/>
              <wp:effectExtent l="0" t="0" r="635" b="1905"/>
              <wp:wrapNone/>
              <wp:docPr id="3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B4324A" w14:textId="77777777" w:rsidR="00586FAA" w:rsidRDefault="006C77D2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- 3 -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9DA895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-29.35pt;margin-top:0;width:21.85pt;height:12.8pt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HTK9wEAALQDAAAOAAAAZHJzL2Uyb0RvYy54bWysU82O0zAQviPxDpbvNG2X7S5R09WyqyKk&#10;5UdaeADXcRKL2GON3SblAeANOHHhznP1OXbsNGWBG+JiTcYzn7/55svyqjct2yn0GmzBZ5MpZ8pK&#10;KLWtC/7xw/rZJWc+CFuKFqwq+F55frV6+mTZuVzNoYG2VMgIxPq8cwVvQnB5lnnZKCP8BJyydFkB&#10;GhHoE+usRNERummz+XS6yDrA0iFI5T1lb4dLvkr4VaVkeFdVXgXWFpy4hXRiOjfxzFZLkdcoXKPl&#10;kYb4BxZGaEuPnqBuRRBsi/ovKKMlgocqTCSYDKpKS5VmoGlm0z+muW+EU2kWEse7k0z+/8HKt7v3&#10;yHRZ8DPOrDC0osO3r4fvPw8/vrCzKE/nfE5V947qQv8SelpzGtW7O5CfPLNw0whbq2tE6BolSqI3&#10;i53Zo9YBx0eQTfcGSnpHbAMkoL5CE7UjNRih05r2p9WoPjBJyfnFxfMX55xJupot5ueLtLpM5GOz&#10;Qx9eKTAsBgVH2nwCF7s7HyIZkY8l8S0La922afut/S1BhTGTyEe+A/PQb/qjGBso9zQGwmAmMj8F&#10;DeBnzjoyUsEtOZ2z9rUlIaLnxgDHYDMGwkpqLHjgbAhvwuDNrUNdN4Q7Sn1NYq11GiSqOnA4siRr&#10;pPmONo7ee/ydqn79bKsHAAAA//8DAFBLAwQUAAYACAAAACEAstAoatkAAAADAQAADwAAAGRycy9k&#10;b3ducmV2LnhtbEyPwU7DMBBE70j8g7VI3KhDgbYKcaqqUi/cKFUlbtt4G0fY68h20+TvMVzgstJo&#10;RjNvq/XorBgoxM6zgsdZAYK48brjVsHhY/ewAhETskbrmRRMFGFd395UWGp/5Xca9qkVuYRjiQpM&#10;Sn0pZWwMOYwz3xNn7+yDw5RlaKUOeM3lzsp5USykw47zgsGetoaar/3FKViOR099pC19nocmmG5a&#10;2bdJqfu7cfMKItGY/sLwg5/Roc5MJ39hHYVVkB9Jvzd7z09LECcF85cFyLqS/9nrbwAAAP//AwBQ&#10;SwECLQAUAAYACAAAACEAtoM4kv4AAADhAQAAEwAAAAAAAAAAAAAAAAAAAAAAW0NvbnRlbnRfVHlw&#10;ZXNdLnhtbFBLAQItABQABgAIAAAAIQA4/SH/1gAAAJQBAAALAAAAAAAAAAAAAAAAAC8BAABfcmVs&#10;cy8ucmVsc1BLAQItABQABgAIAAAAIQCh9HTK9wEAALQDAAAOAAAAAAAAAAAAAAAAAC4CAABkcnMv&#10;ZTJvRG9jLnhtbFBLAQItABQABgAIAAAAIQCy0Chq2QAAAAMBAAAPAAAAAAAAAAAAAAAAAFEEAABk&#10;cnMvZG93bnJldi54bWxQSwUGAAAAAAQABADzAAAAVwUAAAAA&#10;" filled="f" stroked="f">
              <v:textbox style="mso-fit-shape-to-text:t" inset="0,0,0,0">
                <w:txbxContent>
                  <w:p w14:paraId="4AB4324A" w14:textId="77777777" w:rsidR="00586FAA" w:rsidRDefault="006C77D2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- 3 -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B38405" w14:textId="77777777" w:rsidR="00586FAA" w:rsidRDefault="006C77D2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51D963" wp14:editId="140D85A2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209550" cy="162560"/>
              <wp:effectExtent l="1905" t="0" r="0" b="1905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50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CC5A16" w14:textId="77777777" w:rsidR="00586FAA" w:rsidRDefault="006C77D2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51D963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margin-left:-34.7pt;margin-top:0;width:16.5pt;height:12.8pt;z-index:25166028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ED39gEAALsDAAAOAAAAZHJzL2Uyb0RvYy54bWysU82O0zAQviPxDpbvNGmkVhA1XS27KkJa&#10;fqSFB3AcJ7FIPNbYbVIeAN6AExfuPFefg7HTdBe4IS7WeDz+/H3fjDdXY9+xg0KnwRR8uUg5U0ZC&#10;pU1T8I8fds+ec+a8MJXowKiCH5XjV9unTzaDzVUGLXSVQkYgxuWDLXjrvc2TxMlW9cItwCpDhzVg&#10;LzxtsUkqFAOh912Spek6GQAriyCVc5S9nQ75NuLXtZL+XV075VlXcOLm44pxLcOabDcib1DYVssz&#10;DfEPLHqhDT16gboVXrA96r+gei0RHNR+IaFPoK61VFEDqVmmf6i5b4VVUQuZ4+zFJvf/YOXbw3tk&#10;uip4xpkRPbXo9O3r6fvP048vLAv2DNblVHVvqc6PL2GkNkepzt6B/OSYgZtWmEZdI8LQKlERvWW4&#10;mTy6OuG4AFIOb6Cid8TeQwQaa+yDd+QGI3Rq0/HSGjV6JimZpS9WKzqRdLRcZ6t1bF0i8vmyRedf&#10;KehZCAqO1PkILg53zgcyIp9LwlsGdrrrYvc781uCCkMmkg98J+Z+LMdoU1QWhJVQHUkNwjRT9Aco&#10;aAE/czbQPBXc0MBz1r025EcYvTnAOSjnQBhJFwvuOZvCGz+N6N6iblrCnR2/Js92Oup54HAmSxMS&#10;ZZ6nOYzg432sevhz218AAAD//wMAUEsDBBQABgAIAAAAIQCJn5tK2AAAAAMBAAAPAAAAZHJzL2Rv&#10;d25yZXYueG1sTI/BasMwEETvhf6D2EJujdyEJsG1HEqgl96alkBuirWxTKWVkRTH/vtse2kvA8Ms&#10;M2+r7eidGDCmLpCCp3kBAqkJpqNWwdfn2+MGRMqajHaBUMGECbb1/V2lSxOu9IHDPreCSyiVWoHN&#10;uS+lTI1Fr9M89EicnUP0OrONrTRRX7ncO7koipX0uiNesLrHncXme3/xCtbjIWCfcIfH89BE200b&#10;9z4pNXsYX19AZBzz3zH84DM61Mx0ChcySTgF/Ej+Vc6WS3YnBYvnFci6kv/Z6xsAAAD//wMAUEsB&#10;Ai0AFAAGAAgAAAAhALaDOJL+AAAA4QEAABMAAAAAAAAAAAAAAAAAAAAAAFtDb250ZW50X1R5cGVz&#10;XS54bWxQSwECLQAUAAYACAAAACEAOP0h/9YAAACUAQAACwAAAAAAAAAAAAAAAAAvAQAAX3JlbHMv&#10;LnJlbHNQSwECLQAUAAYACAAAACEA8mRA9/YBAAC7AwAADgAAAAAAAAAAAAAAAAAuAgAAZHJzL2Uy&#10;b0RvYy54bWxQSwECLQAUAAYACAAAACEAiZ+bStgAAAADAQAADwAAAAAAAAAAAAAAAABQBAAAZHJz&#10;L2Rvd25yZXYueG1sUEsFBgAAAAAEAAQA8wAAAFUFAAAAAA==&#10;" filled="f" stroked="f">
              <v:textbox style="mso-fit-shape-to-text:t" inset="0,0,0,0">
                <w:txbxContent>
                  <w:p w14:paraId="65CC5A16" w14:textId="77777777" w:rsidR="00586FAA" w:rsidRDefault="006C77D2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6FDEB9" w14:textId="77777777" w:rsidR="006C77D2" w:rsidRDefault="006C77D2">
      <w:r>
        <w:separator/>
      </w:r>
    </w:p>
  </w:footnote>
  <w:footnote w:type="continuationSeparator" w:id="0">
    <w:p w14:paraId="13E8B59F" w14:textId="77777777" w:rsidR="006C77D2" w:rsidRDefault="006C77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512"/>
    <w:rsid w:val="00586FAA"/>
    <w:rsid w:val="006C77D2"/>
    <w:rsid w:val="009D2844"/>
    <w:rsid w:val="00EA7512"/>
    <w:rsid w:val="00F17FBE"/>
    <w:rsid w:val="0D025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34E219"/>
  <w15:docId w15:val="{F9D65630-2606-43B1-8D94-10C811580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黑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spacing w:before="6"/>
      <w:ind w:left="1758"/>
    </w:pPr>
    <w:rPr>
      <w:rFonts w:ascii="Arial Unicode MS" w:hAnsi="Arial Unicode MS" w:cs="Times New Roman"/>
      <w:sz w:val="19"/>
      <w:szCs w:val="19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正文文本 字符"/>
    <w:basedOn w:val="a0"/>
    <w:link w:val="a3"/>
    <w:rPr>
      <w:rFonts w:ascii="Arial Unicode MS" w:eastAsia="宋体" w:hAnsi="Arial Unicode MS" w:cs="Times New Roman"/>
      <w:sz w:val="19"/>
      <w:szCs w:val="19"/>
    </w:rPr>
  </w:style>
  <w:style w:type="character" w:customStyle="1" w:styleId="a6">
    <w:name w:val="页脚 字符"/>
    <w:basedOn w:val="a0"/>
    <w:link w:val="a5"/>
    <w:rPr>
      <w:rFonts w:ascii="Calibri" w:eastAsia="宋体" w:hAnsi="Calibri" w:cs="黑体"/>
      <w:sz w:val="18"/>
      <w:szCs w:val="24"/>
    </w:rPr>
  </w:style>
  <w:style w:type="paragraph" w:styleId="a7">
    <w:name w:val="header"/>
    <w:basedOn w:val="a"/>
    <w:link w:val="a8"/>
    <w:uiPriority w:val="99"/>
    <w:unhideWhenUsed/>
    <w:rsid w:val="009D28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9D2844"/>
    <w:rPr>
      <w:rFonts w:ascii="Calibri" w:eastAsia="宋体" w:hAnsi="Calibri" w:cs="黑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248</Words>
  <Characters>1418</Characters>
  <Application>Microsoft Office Word</Application>
  <DocSecurity>0</DocSecurity>
  <Lines>11</Lines>
  <Paragraphs>3</Paragraphs>
  <ScaleCrop>false</ScaleCrop>
  <Company>Microsoft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liu lili</cp:lastModifiedBy>
  <cp:revision>2</cp:revision>
  <dcterms:created xsi:type="dcterms:W3CDTF">2020-03-18T03:39:00Z</dcterms:created>
  <dcterms:modified xsi:type="dcterms:W3CDTF">2020-04-08T16:36:00Z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