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drawings/drawing1.xml" ContentType="application/vnd.openxmlformats-officedocument.drawingml.chartshapes+xml"/>
  <Override PartName="/word/drawings/drawing2.xml" ContentType="application/vnd.openxmlformats-officedocument.drawingml.chartshapes+xml"/>
  <Override PartName="/word/drawings/drawing3.xml" ContentType="application/vnd.openxmlformats-officedocument.drawingml.chartshapes+xml"/>
  <Override PartName="/word/drawings/drawing4.xml" ContentType="application/vnd.openxmlformats-officedocument.drawingml.chartshapes+xml"/>
  <Override PartName="/word/drawings/drawing5.xml" ContentType="application/vnd.openxmlformats-officedocument.drawingml.chartshapes+xml"/>
  <Override PartName="/word/drawings/drawing6.xml" ContentType="application/vnd.openxmlformats-officedocument.drawingml.chartshapes+xml"/>
  <Override PartName="/word/drawings/drawing7.xml" ContentType="application/vnd.openxmlformats-officedocument.drawingml.chartshape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微软雅黑" w:hAnsi="微软雅黑" w:eastAsia="微软雅黑"/>
          <w:b/>
          <w:bCs/>
          <w:sz w:val="24"/>
        </w:rPr>
      </w:pPr>
      <w:bookmarkStart w:id="2" w:name="_GoBack"/>
      <w:bookmarkEnd w:id="2"/>
      <w:r>
        <w:rPr>
          <w:rFonts w:hint="eastAsia" w:ascii="微软雅黑" w:hAnsi="微软雅黑" w:eastAsia="微软雅黑"/>
          <w:b/>
          <w:bCs/>
          <w:sz w:val="24"/>
        </w:rPr>
        <w:t>2</w:t>
      </w:r>
      <w:r>
        <w:rPr>
          <w:rFonts w:ascii="微软雅黑" w:hAnsi="微软雅黑" w:eastAsia="微软雅黑"/>
          <w:b/>
          <w:bCs/>
          <w:sz w:val="24"/>
        </w:rPr>
        <w:t>021</w:t>
      </w:r>
      <w:r>
        <w:rPr>
          <w:rFonts w:hint="eastAsia" w:ascii="微软雅黑" w:hAnsi="微软雅黑" w:eastAsia="微软雅黑"/>
          <w:b/>
          <w:bCs/>
          <w:sz w:val="24"/>
        </w:rPr>
        <w:t>年春季竞争指数为4</w:t>
      </w:r>
      <w:r>
        <w:rPr>
          <w:rFonts w:ascii="微软雅黑" w:hAnsi="微软雅黑" w:eastAsia="微软雅黑"/>
          <w:b/>
          <w:bCs/>
          <w:sz w:val="24"/>
        </w:rPr>
        <w:t>4</w:t>
      </w:r>
      <w:r>
        <w:rPr>
          <w:rFonts w:hint="eastAsia" w:ascii="微软雅黑" w:hAnsi="微软雅黑" w:eastAsia="微软雅黑"/>
          <w:b/>
          <w:bCs/>
          <w:sz w:val="24"/>
        </w:rPr>
        <w:t>，</w:t>
      </w:r>
      <w:r>
        <w:rPr>
          <w:rFonts w:ascii="微软雅黑" w:hAnsi="微软雅黑" w:eastAsia="微软雅黑"/>
          <w:b/>
          <w:bCs/>
          <w:sz w:val="24"/>
        </w:rPr>
        <w:t>较去年同期降温</w:t>
      </w:r>
    </w:p>
    <w:p>
      <w:pPr>
        <w:snapToGrid w:val="0"/>
        <w:jc w:val="center"/>
        <w:rPr>
          <w:rFonts w:ascii="微软雅黑" w:hAnsi="微软雅黑" w:eastAsia="微软雅黑"/>
          <w:b/>
          <w:bCs/>
          <w:sz w:val="24"/>
        </w:rPr>
      </w:pPr>
      <w:r>
        <w:rPr>
          <w:rFonts w:ascii="微软雅黑" w:hAnsi="微软雅黑" w:eastAsia="微软雅黑"/>
          <w:b/>
          <w:bCs/>
          <w:sz w:val="24"/>
        </w:rPr>
        <w:t>疫情后武汉就业市场快速回暖，北京招聘职位数同比增近9成</w:t>
      </w:r>
    </w:p>
    <w:p>
      <w:pPr>
        <w:snapToGrid w:val="0"/>
        <w:jc w:val="center"/>
        <w:rPr>
          <w:rFonts w:ascii="微软雅黑" w:hAnsi="微软雅黑" w:eastAsia="微软雅黑"/>
          <w:b/>
          <w:bCs/>
          <w:sz w:val="24"/>
          <w:szCs w:val="32"/>
        </w:rPr>
      </w:pPr>
      <w:r>
        <w:rPr>
          <w:rFonts w:ascii="微软雅黑" w:hAnsi="微软雅黑" w:eastAsia="微软雅黑"/>
          <w:b/>
          <w:bCs/>
          <w:sz w:val="24"/>
          <w:szCs w:val="32"/>
        </w:rPr>
        <w:t>互联网/电子商务竞争减缓，餐饮娱乐等</w:t>
      </w:r>
      <w:r>
        <w:rPr>
          <w:rFonts w:hint="eastAsia" w:ascii="微软雅黑" w:hAnsi="微软雅黑" w:eastAsia="微软雅黑"/>
          <w:b/>
          <w:bCs/>
          <w:sz w:val="24"/>
          <w:szCs w:val="32"/>
        </w:rPr>
        <w:t>消费领域逐步复苏</w:t>
      </w:r>
    </w:p>
    <w:p>
      <w:pPr>
        <w:snapToGrid w:val="0"/>
        <w:jc w:val="center"/>
        <w:rPr>
          <w:rFonts w:ascii="微软雅黑" w:hAnsi="微软雅黑" w:eastAsia="微软雅黑"/>
          <w:b/>
          <w:bCs/>
          <w:sz w:val="24"/>
        </w:rPr>
      </w:pPr>
      <w:r>
        <w:rPr>
          <w:rFonts w:ascii="微软雅黑" w:hAnsi="微软雅黑" w:eastAsia="微软雅黑"/>
          <w:b/>
          <w:bCs/>
          <w:sz w:val="24"/>
        </w:rPr>
        <w:t>全国平均招聘薪酬9059元/月，环比上涨1.5%</w:t>
      </w:r>
    </w:p>
    <w:p>
      <w:pPr>
        <w:snapToGrid w:val="0"/>
        <w:jc w:val="center"/>
        <w:rPr>
          <w:rFonts w:ascii="微软雅黑" w:hAnsi="微软雅黑" w:eastAsia="微软雅黑"/>
          <w:b/>
          <w:bCs/>
          <w:sz w:val="24"/>
        </w:rPr>
      </w:pPr>
      <w:r>
        <w:rPr>
          <w:rFonts w:ascii="微软雅黑" w:hAnsi="微软雅黑" w:eastAsia="微软雅黑"/>
          <w:b/>
          <w:bCs/>
          <w:sz w:val="24"/>
        </w:rPr>
        <w:tab/>
      </w:r>
      <w:r>
        <w:rPr>
          <w:rFonts w:ascii="微软雅黑" w:hAnsi="微软雅黑" w:eastAsia="微软雅黑"/>
          <w:b/>
          <w:bCs/>
          <w:sz w:val="24"/>
        </w:rPr>
        <w:t>新一线城市招聘薪酬涨幅突出，东莞环比</w:t>
      </w:r>
      <w:r>
        <w:rPr>
          <w:rFonts w:hint="eastAsia" w:ascii="微软雅黑" w:hAnsi="微软雅黑" w:eastAsia="微软雅黑"/>
          <w:b/>
          <w:bCs/>
          <w:sz w:val="24"/>
        </w:rPr>
        <w:t>与</w:t>
      </w:r>
      <w:r>
        <w:rPr>
          <w:rFonts w:ascii="微软雅黑" w:hAnsi="微软雅黑" w:eastAsia="微软雅黑"/>
          <w:b/>
          <w:bCs/>
          <w:sz w:val="24"/>
        </w:rPr>
        <w:t>同比增速</w:t>
      </w:r>
      <w:r>
        <w:rPr>
          <w:rFonts w:hint="eastAsia" w:ascii="微软雅黑" w:hAnsi="微软雅黑" w:eastAsia="微软雅黑"/>
          <w:b/>
          <w:bCs/>
          <w:sz w:val="24"/>
        </w:rPr>
        <w:t>均</w:t>
      </w:r>
      <w:r>
        <w:rPr>
          <w:rFonts w:ascii="微软雅黑" w:hAnsi="微软雅黑" w:eastAsia="微软雅黑"/>
          <w:b/>
          <w:bCs/>
          <w:sz w:val="24"/>
        </w:rPr>
        <w:t>最高</w:t>
      </w:r>
    </w:p>
    <w:p>
      <w:pPr>
        <w:snapToGrid w:val="0"/>
        <w:jc w:val="both"/>
        <w:rPr>
          <w:rFonts w:ascii="微软雅黑" w:hAnsi="微软雅黑" w:eastAsia="微软雅黑"/>
          <w:b/>
          <w:bCs/>
        </w:rPr>
      </w:pPr>
    </w:p>
    <w:p>
      <w:pPr>
        <w:snapToGrid w:val="0"/>
        <w:jc w:val="right"/>
        <w:rPr>
          <w:rFonts w:ascii="微软雅黑" w:hAnsi="微软雅黑" w:eastAsia="微软雅黑"/>
          <w:b/>
          <w:bCs/>
        </w:rPr>
      </w:pPr>
      <w:r>
        <w:rPr>
          <w:rFonts w:hint="eastAsia" w:ascii="微软雅黑" w:hAnsi="微软雅黑" w:eastAsia="微软雅黑"/>
          <w:b/>
          <w:bCs/>
        </w:rPr>
        <w:t>——智联招聘发布《2</w:t>
      </w:r>
      <w:r>
        <w:rPr>
          <w:rFonts w:ascii="微软雅黑" w:hAnsi="微软雅黑" w:eastAsia="微软雅黑"/>
          <w:b/>
          <w:bCs/>
        </w:rPr>
        <w:t>021</w:t>
      </w:r>
      <w:r>
        <w:rPr>
          <w:rFonts w:hint="eastAsia" w:ascii="微软雅黑" w:hAnsi="微软雅黑" w:eastAsia="微软雅黑"/>
          <w:b/>
          <w:bCs/>
        </w:rPr>
        <w:t>年春季中国雇主需求与白领人才供给报告》</w:t>
      </w:r>
    </w:p>
    <w:p>
      <w:pPr>
        <w:snapToGrid w:val="0"/>
        <w:jc w:val="right"/>
        <w:rPr>
          <w:rFonts w:ascii="微软雅黑" w:hAnsi="微软雅黑" w:eastAsia="微软雅黑"/>
        </w:rPr>
      </w:pPr>
    </w:p>
    <w:p>
      <w:pPr>
        <w:snapToGrid w:val="0"/>
        <w:ind w:firstLine="420"/>
        <w:jc w:val="both"/>
        <w:rPr>
          <w:rFonts w:ascii="微软雅黑" w:hAnsi="微软雅黑" w:eastAsia="微软雅黑"/>
        </w:rPr>
      </w:pPr>
      <w:r>
        <w:rPr>
          <w:rFonts w:hint="eastAsia" w:ascii="微软雅黑" w:hAnsi="微软雅黑" w:eastAsia="微软雅黑"/>
        </w:rPr>
        <w:t>智联招聘作为人才生态构建者，对招聘求职市场保持高度关注，持续追踪中国劳动力市场白领供求状况。2</w:t>
      </w:r>
      <w:r>
        <w:rPr>
          <w:rFonts w:ascii="微软雅黑" w:hAnsi="微软雅黑" w:eastAsia="微软雅黑"/>
        </w:rPr>
        <w:t>021</w:t>
      </w:r>
      <w:r>
        <w:rPr>
          <w:rFonts w:hint="eastAsia" w:ascii="微软雅黑" w:hAnsi="微软雅黑" w:eastAsia="微软雅黑"/>
        </w:rPr>
        <w:t>年春季，正值招聘求职高峰，智联招聘持续监测全国3</w:t>
      </w:r>
      <w:r>
        <w:rPr>
          <w:rFonts w:ascii="微软雅黑" w:hAnsi="微软雅黑" w:eastAsia="微软雅黑"/>
        </w:rPr>
        <w:t>8</w:t>
      </w:r>
      <w:r>
        <w:rPr>
          <w:rFonts w:hint="eastAsia" w:ascii="微软雅黑" w:hAnsi="微软雅黑" w:eastAsia="微软雅黑"/>
        </w:rPr>
        <w:t>个主要城市的职场竞争变化趋势，并根据平台大数据，分析得出《2</w:t>
      </w:r>
      <w:r>
        <w:rPr>
          <w:rFonts w:ascii="微软雅黑" w:hAnsi="微软雅黑" w:eastAsia="微软雅黑"/>
        </w:rPr>
        <w:t>021</w:t>
      </w:r>
      <w:r>
        <w:rPr>
          <w:rFonts w:hint="eastAsia" w:ascii="微软雅黑" w:hAnsi="微软雅黑" w:eastAsia="微软雅黑"/>
        </w:rPr>
        <w:t>年春季中国雇主需求与白领人才供给报告》，以期为企业与求职者提供决策参考。</w:t>
      </w:r>
    </w:p>
    <w:p>
      <w:pPr>
        <w:snapToGrid w:val="0"/>
        <w:jc w:val="both"/>
        <w:rPr>
          <w:rFonts w:ascii="微软雅黑" w:hAnsi="微软雅黑" w:eastAsia="微软雅黑"/>
        </w:rPr>
      </w:pPr>
    </w:p>
    <w:p>
      <w:pPr>
        <w:pStyle w:val="10"/>
        <w:numPr>
          <w:ilvl w:val="0"/>
          <w:numId w:val="1"/>
        </w:numPr>
        <w:snapToGrid w:val="0"/>
        <w:ind w:firstLineChars="0"/>
        <w:jc w:val="both"/>
        <w:rPr>
          <w:rFonts w:ascii="微软雅黑" w:hAnsi="微软雅黑" w:eastAsia="微软雅黑"/>
          <w:b/>
          <w:bCs/>
        </w:rPr>
      </w:pPr>
      <w:r>
        <w:rPr>
          <w:rFonts w:hint="eastAsia" w:ascii="微软雅黑" w:hAnsi="微软雅黑" w:eastAsia="微软雅黑"/>
          <w:b/>
          <w:bCs/>
        </w:rPr>
        <w:t>招聘需求同比增幅超简历投递，</w:t>
      </w:r>
      <w:r>
        <w:rPr>
          <w:rFonts w:ascii="微软雅黑" w:hAnsi="微软雅黑" w:eastAsia="微软雅黑"/>
          <w:b/>
          <w:bCs/>
        </w:rPr>
        <w:t>求职竞争较去年同期降温</w:t>
      </w:r>
    </w:p>
    <w:p>
      <w:pPr>
        <w:pStyle w:val="10"/>
        <w:numPr>
          <w:ilvl w:val="0"/>
          <w:numId w:val="1"/>
        </w:numPr>
        <w:snapToGrid w:val="0"/>
        <w:ind w:firstLineChars="0"/>
        <w:jc w:val="both"/>
        <w:rPr>
          <w:rFonts w:ascii="微软雅黑" w:hAnsi="微软雅黑" w:eastAsia="微软雅黑"/>
          <w:b/>
          <w:bCs/>
        </w:rPr>
      </w:pPr>
      <w:r>
        <w:rPr>
          <w:rFonts w:hint="eastAsia" w:ascii="微软雅黑" w:hAnsi="微软雅黑" w:eastAsia="微软雅黑"/>
          <w:b/>
          <w:bCs/>
        </w:rPr>
        <w:t>万人大企竞争热度逆势提高，人才供需两端均进一步向大企业集中</w:t>
      </w:r>
    </w:p>
    <w:p>
      <w:pPr>
        <w:pStyle w:val="10"/>
        <w:numPr>
          <w:ilvl w:val="0"/>
          <w:numId w:val="1"/>
        </w:numPr>
        <w:snapToGrid w:val="0"/>
        <w:ind w:firstLineChars="0"/>
        <w:jc w:val="both"/>
        <w:rPr>
          <w:rFonts w:ascii="微软雅黑" w:hAnsi="微软雅黑" w:eastAsia="微软雅黑"/>
          <w:b/>
          <w:bCs/>
        </w:rPr>
      </w:pPr>
      <w:r>
        <w:rPr>
          <w:rFonts w:hint="eastAsia" w:ascii="微软雅黑" w:hAnsi="微软雅黑" w:eastAsia="微软雅黑"/>
          <w:b/>
          <w:bCs/>
        </w:rPr>
        <w:t>国企仍是竟争高地，上市公司释放更多就业机会</w:t>
      </w:r>
    </w:p>
    <w:p>
      <w:pPr>
        <w:pStyle w:val="10"/>
        <w:numPr>
          <w:ilvl w:val="0"/>
          <w:numId w:val="1"/>
        </w:numPr>
        <w:snapToGrid w:val="0"/>
        <w:ind w:firstLineChars="0"/>
        <w:jc w:val="both"/>
        <w:rPr>
          <w:rFonts w:ascii="微软雅黑" w:hAnsi="微软雅黑" w:eastAsia="微软雅黑"/>
          <w:b/>
          <w:bCs/>
        </w:rPr>
      </w:pPr>
      <w:r>
        <w:rPr>
          <w:rFonts w:ascii="微软雅黑" w:hAnsi="微软雅黑" w:eastAsia="微软雅黑"/>
          <w:b/>
          <w:bCs/>
        </w:rPr>
        <w:t>疫情后武汉就业市场快速回暖，北京招聘职位数同比增近9成</w:t>
      </w:r>
    </w:p>
    <w:p>
      <w:pPr>
        <w:pStyle w:val="10"/>
        <w:numPr>
          <w:ilvl w:val="0"/>
          <w:numId w:val="1"/>
        </w:numPr>
        <w:snapToGrid w:val="0"/>
        <w:ind w:firstLineChars="0"/>
        <w:jc w:val="both"/>
        <w:rPr>
          <w:rFonts w:ascii="微软雅黑" w:hAnsi="微软雅黑" w:eastAsia="微软雅黑"/>
          <w:b/>
          <w:bCs/>
        </w:rPr>
      </w:pPr>
      <w:r>
        <w:rPr>
          <w:rFonts w:ascii="微软雅黑" w:hAnsi="微软雅黑" w:eastAsia="微软雅黑"/>
          <w:b/>
          <w:bCs/>
        </w:rPr>
        <w:t>互联网/电子商务竞争减缓，娱乐餐饮等</w:t>
      </w:r>
      <w:r>
        <w:rPr>
          <w:rFonts w:hint="eastAsia" w:ascii="微软雅黑" w:hAnsi="微软雅黑" w:eastAsia="微软雅黑"/>
          <w:b/>
          <w:bCs/>
        </w:rPr>
        <w:t>消费领域逐步复苏</w:t>
      </w:r>
    </w:p>
    <w:p>
      <w:pPr>
        <w:pStyle w:val="10"/>
        <w:numPr>
          <w:ilvl w:val="0"/>
          <w:numId w:val="1"/>
        </w:numPr>
        <w:snapToGrid w:val="0"/>
        <w:ind w:firstLineChars="0"/>
        <w:jc w:val="both"/>
        <w:rPr>
          <w:rFonts w:ascii="微软雅黑" w:hAnsi="微软雅黑" w:eastAsia="微软雅黑"/>
          <w:b/>
          <w:bCs/>
        </w:rPr>
      </w:pPr>
      <w:r>
        <w:rPr>
          <w:rFonts w:ascii="微软雅黑" w:hAnsi="微软雅黑" w:eastAsia="微软雅黑"/>
          <w:b/>
          <w:bCs/>
        </w:rPr>
        <w:t>技工/家政等一线生产及服务人员供需两旺</w:t>
      </w:r>
    </w:p>
    <w:p>
      <w:pPr>
        <w:pStyle w:val="10"/>
        <w:numPr>
          <w:ilvl w:val="0"/>
          <w:numId w:val="1"/>
        </w:numPr>
        <w:snapToGrid w:val="0"/>
        <w:ind w:firstLineChars="0"/>
        <w:jc w:val="both"/>
        <w:rPr>
          <w:rFonts w:ascii="微软雅黑" w:hAnsi="微软雅黑" w:eastAsia="微软雅黑"/>
          <w:b/>
          <w:bCs/>
        </w:rPr>
      </w:pPr>
      <w:r>
        <w:rPr>
          <w:rFonts w:hint="eastAsia" w:ascii="微软雅黑" w:hAnsi="微软雅黑" w:eastAsia="微软雅黑"/>
          <w:b/>
          <w:bCs/>
        </w:rPr>
        <w:t>全国平均招聘薪酬9</w:t>
      </w:r>
      <w:r>
        <w:rPr>
          <w:rFonts w:ascii="微软雅黑" w:hAnsi="微软雅黑" w:eastAsia="微软雅黑"/>
          <w:b/>
          <w:bCs/>
        </w:rPr>
        <w:t>059</w:t>
      </w:r>
      <w:r>
        <w:rPr>
          <w:rFonts w:hint="eastAsia" w:ascii="微软雅黑" w:hAnsi="微软雅黑" w:eastAsia="微软雅黑"/>
          <w:b/>
          <w:bCs/>
        </w:rPr>
        <w:t>元/月，环比上涨1</w:t>
      </w:r>
      <w:r>
        <w:rPr>
          <w:rFonts w:ascii="微软雅黑" w:hAnsi="微软雅黑" w:eastAsia="微软雅黑"/>
          <w:b/>
          <w:bCs/>
        </w:rPr>
        <w:t>.5%</w:t>
      </w:r>
    </w:p>
    <w:p>
      <w:pPr>
        <w:pStyle w:val="10"/>
        <w:numPr>
          <w:ilvl w:val="0"/>
          <w:numId w:val="1"/>
        </w:numPr>
        <w:snapToGrid w:val="0"/>
        <w:ind w:firstLineChars="0"/>
        <w:jc w:val="both"/>
        <w:rPr>
          <w:rFonts w:ascii="微软雅黑" w:hAnsi="微软雅黑" w:eastAsia="微软雅黑"/>
          <w:b/>
          <w:bCs/>
        </w:rPr>
      </w:pPr>
      <w:r>
        <w:rPr>
          <w:rFonts w:hint="eastAsia" w:ascii="微软雅黑" w:hAnsi="微软雅黑" w:eastAsia="微软雅黑"/>
          <w:b/>
          <w:bCs/>
        </w:rPr>
        <w:t>新一线城市招聘薪酬涨幅突出，东莞环比同比增速均最高</w:t>
      </w:r>
    </w:p>
    <w:p>
      <w:pPr>
        <w:pStyle w:val="10"/>
        <w:numPr>
          <w:ilvl w:val="0"/>
          <w:numId w:val="1"/>
        </w:numPr>
        <w:snapToGrid w:val="0"/>
        <w:ind w:firstLineChars="0"/>
        <w:jc w:val="both"/>
        <w:rPr>
          <w:rFonts w:ascii="微软雅黑" w:hAnsi="微软雅黑" w:eastAsia="微软雅黑"/>
          <w:b/>
          <w:bCs/>
        </w:rPr>
      </w:pPr>
      <w:r>
        <w:rPr>
          <w:rFonts w:hint="eastAsia" w:ascii="微软雅黑" w:hAnsi="微软雅黑" w:eastAsia="微软雅黑"/>
          <w:b/>
          <w:bCs/>
        </w:rPr>
        <w:t>上市公司薪酬水平保持第一，国企涨薪幅度最大</w:t>
      </w:r>
    </w:p>
    <w:p>
      <w:pPr>
        <w:pStyle w:val="10"/>
        <w:numPr>
          <w:ilvl w:val="0"/>
          <w:numId w:val="1"/>
        </w:numPr>
        <w:snapToGrid w:val="0"/>
        <w:ind w:firstLineChars="0"/>
        <w:jc w:val="both"/>
        <w:rPr>
          <w:rFonts w:ascii="微软雅黑" w:hAnsi="微软雅黑" w:eastAsia="微软雅黑"/>
          <w:b/>
          <w:bCs/>
        </w:rPr>
      </w:pPr>
      <w:r>
        <w:rPr>
          <w:rFonts w:ascii="微软雅黑" w:hAnsi="微软雅黑" w:eastAsia="微软雅黑"/>
          <w:b/>
          <w:bCs/>
        </w:rPr>
        <w:t>万人大企招聘薪酬水平及增幅均最高</w:t>
      </w:r>
      <w:r>
        <w:rPr>
          <w:rFonts w:hint="eastAsia" w:ascii="微软雅黑" w:hAnsi="微软雅黑" w:eastAsia="微软雅黑"/>
          <w:b/>
          <w:bCs/>
        </w:rPr>
        <w:t>，达到10608元/月</w:t>
      </w:r>
    </w:p>
    <w:p>
      <w:pPr>
        <w:pStyle w:val="10"/>
        <w:numPr>
          <w:ilvl w:val="0"/>
          <w:numId w:val="1"/>
        </w:numPr>
        <w:snapToGrid w:val="0"/>
        <w:ind w:firstLineChars="0"/>
        <w:jc w:val="both"/>
        <w:rPr>
          <w:rFonts w:ascii="微软雅黑" w:hAnsi="微软雅黑" w:eastAsia="微软雅黑"/>
        </w:rPr>
      </w:pPr>
      <w:r>
        <w:rPr>
          <w:rFonts w:hint="eastAsia" w:ascii="微软雅黑" w:hAnsi="微软雅黑" w:eastAsia="微软雅黑"/>
          <w:b/>
          <w:bCs/>
        </w:rPr>
        <w:t>银行业招聘薪酬10219元/月，环比提高5.6%升至第6位</w:t>
      </w:r>
    </w:p>
    <w:p>
      <w:pPr>
        <w:pStyle w:val="10"/>
        <w:numPr>
          <w:ilvl w:val="0"/>
          <w:numId w:val="1"/>
        </w:numPr>
        <w:snapToGrid w:val="0"/>
        <w:ind w:right="210" w:firstLineChars="0"/>
        <w:jc w:val="both"/>
        <w:rPr>
          <w:rFonts w:ascii="微软雅黑" w:hAnsi="微软雅黑" w:eastAsia="微软雅黑"/>
          <w:b/>
          <w:bCs/>
        </w:rPr>
      </w:pPr>
      <w:r>
        <w:rPr>
          <w:rFonts w:hint="eastAsia" w:ascii="微软雅黑" w:hAnsi="微软雅黑" w:eastAsia="微软雅黑"/>
          <w:b/>
          <w:bCs/>
        </w:rPr>
        <w:t>数据分析岗以11063元/月新晋高薪榜单，IT岗位薪酬涨幅可观</w:t>
      </w:r>
    </w:p>
    <w:p>
      <w:pPr>
        <w:snapToGrid w:val="0"/>
        <w:jc w:val="both"/>
        <w:outlineLvl w:val="0"/>
        <w:rPr>
          <w:rFonts w:ascii="微软雅黑" w:hAnsi="微软雅黑" w:eastAsia="微软雅黑"/>
          <w:b/>
          <w:bCs/>
          <w:sz w:val="24"/>
        </w:rPr>
      </w:pPr>
    </w:p>
    <w:p>
      <w:pPr>
        <w:pStyle w:val="10"/>
        <w:numPr>
          <w:ilvl w:val="0"/>
          <w:numId w:val="2"/>
        </w:numPr>
        <w:snapToGrid w:val="0"/>
        <w:ind w:firstLineChars="0"/>
        <w:jc w:val="both"/>
        <w:outlineLvl w:val="0"/>
        <w:rPr>
          <w:rFonts w:ascii="微软雅黑" w:hAnsi="微软雅黑" w:eastAsia="微软雅黑"/>
          <w:b/>
          <w:bCs/>
        </w:rPr>
      </w:pPr>
      <w:r>
        <w:rPr>
          <w:rFonts w:hint="eastAsia" w:ascii="微软雅黑" w:hAnsi="微软雅黑" w:eastAsia="微软雅黑"/>
          <w:b/>
          <w:bCs/>
          <w:sz w:val="24"/>
        </w:rPr>
        <w:t>2</w:t>
      </w:r>
      <w:r>
        <w:rPr>
          <w:rFonts w:ascii="微软雅黑" w:hAnsi="微软雅黑" w:eastAsia="微软雅黑"/>
          <w:b/>
          <w:bCs/>
          <w:sz w:val="24"/>
        </w:rPr>
        <w:t>021</w:t>
      </w:r>
      <w:r>
        <w:rPr>
          <w:rFonts w:hint="eastAsia" w:ascii="微软雅黑" w:hAnsi="微软雅黑" w:eastAsia="微软雅黑"/>
          <w:b/>
          <w:bCs/>
          <w:sz w:val="24"/>
        </w:rPr>
        <w:t>年春季竞争指数为4</w:t>
      </w:r>
      <w:r>
        <w:rPr>
          <w:rFonts w:ascii="微软雅黑" w:hAnsi="微软雅黑" w:eastAsia="微软雅黑"/>
          <w:b/>
          <w:bCs/>
          <w:sz w:val="24"/>
        </w:rPr>
        <w:t>4</w:t>
      </w:r>
      <w:r>
        <w:rPr>
          <w:rFonts w:hint="eastAsia" w:ascii="微软雅黑" w:hAnsi="微软雅黑" w:eastAsia="微软雅黑"/>
          <w:b/>
          <w:bCs/>
          <w:sz w:val="24"/>
        </w:rPr>
        <w:t>，求职竞争同比趋缓</w:t>
      </w:r>
    </w:p>
    <w:p>
      <w:pPr>
        <w:snapToGrid w:val="0"/>
        <w:ind w:left="420"/>
        <w:jc w:val="both"/>
        <w:outlineLvl w:val="0"/>
        <w:rPr>
          <w:rFonts w:ascii="微软雅黑" w:hAnsi="微软雅黑" w:eastAsia="微软雅黑"/>
          <w:b/>
          <w:bCs/>
        </w:rPr>
      </w:pPr>
    </w:p>
    <w:p>
      <w:pPr>
        <w:pStyle w:val="10"/>
        <w:numPr>
          <w:ilvl w:val="0"/>
          <w:numId w:val="3"/>
        </w:numPr>
        <w:snapToGrid w:val="0"/>
        <w:ind w:left="357" w:hanging="357" w:firstLineChars="0"/>
        <w:jc w:val="both"/>
        <w:outlineLvl w:val="1"/>
        <w:rPr>
          <w:rFonts w:ascii="微软雅黑" w:hAnsi="微软雅黑" w:eastAsia="微软雅黑"/>
          <w:b/>
          <w:bCs/>
        </w:rPr>
      </w:pPr>
      <w:r>
        <w:rPr>
          <w:rFonts w:hint="eastAsia" w:ascii="微软雅黑" w:hAnsi="微软雅黑" w:eastAsia="微软雅黑"/>
          <w:b/>
          <w:bCs/>
        </w:rPr>
        <w:t>招聘需求同比增幅超简历投递，求职竞争较去年同期降温</w:t>
      </w:r>
    </w:p>
    <w:p>
      <w:pPr>
        <w:pStyle w:val="10"/>
        <w:snapToGrid w:val="0"/>
        <w:ind w:left="360" w:firstLine="0" w:firstLineChars="0"/>
        <w:jc w:val="both"/>
        <w:rPr>
          <w:rFonts w:ascii="微软雅黑" w:hAnsi="微软雅黑" w:eastAsia="微软雅黑"/>
        </w:rPr>
      </w:pPr>
    </w:p>
    <w:p>
      <w:pPr>
        <w:snapToGrid w:val="0"/>
        <w:ind w:firstLine="360"/>
        <w:jc w:val="both"/>
        <w:rPr>
          <w:rFonts w:ascii="微软雅黑" w:hAnsi="微软雅黑" w:eastAsia="微软雅黑"/>
        </w:rPr>
      </w:pPr>
      <w:r>
        <w:rPr>
          <w:rFonts w:hint="eastAsia" w:ascii="微软雅黑" w:hAnsi="微软雅黑" w:eastAsia="微软雅黑"/>
        </w:rPr>
        <w:t>智联招聘通过监测全国3</w:t>
      </w:r>
      <w:r>
        <w:rPr>
          <w:rFonts w:ascii="微软雅黑" w:hAnsi="微软雅黑" w:eastAsia="微软雅黑"/>
        </w:rPr>
        <w:t>8</w:t>
      </w:r>
      <w:r>
        <w:rPr>
          <w:rFonts w:hint="eastAsia" w:ascii="微软雅黑" w:hAnsi="微软雅黑" w:eastAsia="微软雅黑"/>
        </w:rPr>
        <w:t>个核心城市的招聘求职数据发现，2</w:t>
      </w:r>
      <w:r>
        <w:rPr>
          <w:rFonts w:ascii="微软雅黑" w:hAnsi="微软雅黑" w:eastAsia="微软雅黑"/>
        </w:rPr>
        <w:t>021</w:t>
      </w:r>
      <w:r>
        <w:rPr>
          <w:rFonts w:hint="eastAsia" w:ascii="微软雅黑" w:hAnsi="微软雅黑" w:eastAsia="微软雅黑"/>
        </w:rPr>
        <w:t>年春季求职期全国人才竞争指数为4</w:t>
      </w:r>
      <w:r>
        <w:rPr>
          <w:rFonts w:ascii="微软雅黑" w:hAnsi="微软雅黑" w:eastAsia="微软雅黑"/>
        </w:rPr>
        <w:t>4</w:t>
      </w:r>
      <w:r>
        <w:rPr>
          <w:rFonts w:hint="eastAsia" w:ascii="微软雅黑" w:hAnsi="微软雅黑" w:eastAsia="微软雅黑"/>
        </w:rPr>
        <w:t>，意味着在全国范围内平均每</w:t>
      </w:r>
      <w:r>
        <w:rPr>
          <w:rFonts w:ascii="微软雅黑" w:hAnsi="微软雅黑" w:eastAsia="微软雅黑"/>
        </w:rPr>
        <w:t>44</w:t>
      </w:r>
      <w:r>
        <w:rPr>
          <w:rFonts w:hint="eastAsia" w:ascii="微软雅黑" w:hAnsi="微软雅黑" w:eastAsia="微软雅黑"/>
        </w:rPr>
        <w:t>人竞争一职的局面，竞争指数环比上涨9</w:t>
      </w:r>
      <w:r>
        <w:rPr>
          <w:rFonts w:ascii="微软雅黑" w:hAnsi="微软雅黑" w:eastAsia="微软雅黑"/>
        </w:rPr>
        <w:t>.9</w:t>
      </w:r>
      <w:r>
        <w:rPr>
          <w:rFonts w:hint="eastAsia" w:ascii="微软雅黑" w:hAnsi="微软雅黑" w:eastAsia="微软雅黑"/>
        </w:rPr>
        <w:t>，同比下降2</w:t>
      </w:r>
      <w:r>
        <w:rPr>
          <w:rFonts w:ascii="微软雅黑" w:hAnsi="微软雅黑" w:eastAsia="微软雅黑"/>
        </w:rPr>
        <w:t>.3</w:t>
      </w:r>
      <w:r>
        <w:rPr>
          <w:rFonts w:hint="eastAsia" w:ascii="微软雅黑" w:hAnsi="微软雅黑" w:eastAsia="微软雅黑"/>
        </w:rPr>
        <w:t>。</w:t>
      </w:r>
    </w:p>
    <w:p>
      <w:pPr>
        <w:snapToGrid w:val="0"/>
        <w:ind w:firstLine="360"/>
        <w:jc w:val="both"/>
        <w:rPr>
          <w:rFonts w:ascii="微软雅黑" w:hAnsi="微软雅黑" w:eastAsia="微软雅黑"/>
        </w:rPr>
      </w:pPr>
      <w:r>
        <w:rPr>
          <w:rFonts w:hint="eastAsia" w:ascii="微软雅黑" w:hAnsi="微软雅黑" w:eastAsia="微软雅黑"/>
        </w:rPr>
        <w:t>具体通过供需端变化可以看出，随疫情形势稳定，本季度招聘职位数同比扩张6</w:t>
      </w:r>
      <w:r>
        <w:rPr>
          <w:rFonts w:ascii="微软雅黑" w:hAnsi="微软雅黑" w:eastAsia="微软雅黑"/>
        </w:rPr>
        <w:t>1.6%</w:t>
      </w:r>
      <w:r>
        <w:rPr>
          <w:rFonts w:hint="eastAsia" w:ascii="微软雅黑" w:hAnsi="微软雅黑" w:eastAsia="微软雅黑"/>
        </w:rPr>
        <w:t>，高于简历投递数增量的增速4</w:t>
      </w:r>
      <w:r>
        <w:rPr>
          <w:rFonts w:ascii="微软雅黑" w:hAnsi="微软雅黑" w:eastAsia="微软雅黑"/>
        </w:rPr>
        <w:t>5.7%</w:t>
      </w:r>
      <w:r>
        <w:rPr>
          <w:rFonts w:hint="eastAsia" w:ascii="微软雅黑" w:hAnsi="微软雅黑" w:eastAsia="微软雅黑"/>
        </w:rPr>
        <w:t>，从而促使竞争环境更为温和。环比方面，招聘职位数与简历投递量则分别增长1</w:t>
      </w:r>
      <w:r>
        <w:rPr>
          <w:rFonts w:ascii="微软雅黑" w:hAnsi="微软雅黑" w:eastAsia="微软雅黑"/>
        </w:rPr>
        <w:t>4%</w:t>
      </w:r>
      <w:r>
        <w:rPr>
          <w:rFonts w:hint="eastAsia" w:ascii="微软雅黑" w:hAnsi="微软雅黑" w:eastAsia="微软雅黑"/>
        </w:rPr>
        <w:t>、5</w:t>
      </w:r>
      <w:r>
        <w:rPr>
          <w:rFonts w:ascii="微软雅黑" w:hAnsi="微软雅黑" w:eastAsia="微软雅黑"/>
        </w:rPr>
        <w:t>1.2%</w:t>
      </w:r>
      <w:r>
        <w:rPr>
          <w:rFonts w:hint="eastAsia" w:ascii="微软雅黑" w:hAnsi="微软雅黑" w:eastAsia="微软雅黑"/>
        </w:rPr>
        <w:t>，求职者扎堆春招的行为凸显。</w:t>
      </w:r>
    </w:p>
    <w:p>
      <w:pPr>
        <w:snapToGrid w:val="0"/>
        <w:jc w:val="both"/>
        <w:rPr>
          <w:rFonts w:ascii="微软雅黑" w:hAnsi="微软雅黑" w:eastAsia="微软雅黑"/>
        </w:rPr>
      </w:pPr>
      <w:r>
        <w:rPr>
          <w:rFonts w:ascii="微软雅黑" w:hAnsi="微软雅黑" w:eastAsia="微软雅黑"/>
        </w:rPr>
        <w:drawing>
          <wp:inline distT="0" distB="0" distL="0" distR="0">
            <wp:extent cx="5270500" cy="3781425"/>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napToGrid w:val="0"/>
        <w:jc w:val="both"/>
        <w:rPr>
          <w:rFonts w:ascii="微软雅黑" w:hAnsi="微软雅黑" w:eastAsia="微软雅黑"/>
        </w:rPr>
      </w:pPr>
    </w:p>
    <w:p>
      <w:pPr>
        <w:pStyle w:val="10"/>
        <w:numPr>
          <w:ilvl w:val="0"/>
          <w:numId w:val="3"/>
        </w:numPr>
        <w:snapToGrid w:val="0"/>
        <w:ind w:left="357" w:hanging="357" w:firstLineChars="0"/>
        <w:jc w:val="both"/>
        <w:outlineLvl w:val="1"/>
        <w:rPr>
          <w:rFonts w:ascii="微软雅黑" w:hAnsi="微软雅黑" w:eastAsia="微软雅黑"/>
          <w:b/>
          <w:bCs/>
        </w:rPr>
      </w:pPr>
      <w:r>
        <w:rPr>
          <w:rFonts w:hint="eastAsia" w:ascii="微软雅黑" w:hAnsi="微软雅黑" w:eastAsia="微软雅黑"/>
          <w:b/>
          <w:bCs/>
        </w:rPr>
        <w:t>万人大企竞争热度逆势提高，人才供需两端均进一步向大企业集中</w:t>
      </w:r>
    </w:p>
    <w:p>
      <w:pPr>
        <w:snapToGrid w:val="0"/>
        <w:ind w:firstLine="360"/>
        <w:jc w:val="both"/>
        <w:rPr>
          <w:rFonts w:ascii="微软雅黑" w:hAnsi="微软雅黑" w:eastAsia="微软雅黑"/>
        </w:rPr>
      </w:pPr>
      <w:r>
        <w:rPr>
          <w:rFonts w:hint="eastAsia" w:ascii="微软雅黑" w:hAnsi="微软雅黑" w:eastAsia="微软雅黑"/>
        </w:rPr>
        <w:t>竞争指数与企业规模呈现一定正比关系，具体来看，规模在万人以上的超大型企业竞争热度最高，达6</w:t>
      </w:r>
      <w:r>
        <w:rPr>
          <w:rFonts w:ascii="微软雅黑" w:hAnsi="微软雅黑" w:eastAsia="微软雅黑"/>
        </w:rPr>
        <w:t>0.1</w:t>
      </w:r>
      <w:r>
        <w:rPr>
          <w:rFonts w:hint="eastAsia" w:ascii="微软雅黑" w:hAnsi="微软雅黑" w:eastAsia="微软雅黑"/>
        </w:rPr>
        <w:t>，而规模1</w:t>
      </w:r>
      <w:r>
        <w:rPr>
          <w:rFonts w:ascii="微软雅黑" w:hAnsi="微软雅黑" w:eastAsia="微软雅黑"/>
        </w:rPr>
        <w:t>000-9999</w:t>
      </w:r>
      <w:r>
        <w:rPr>
          <w:rFonts w:hint="eastAsia" w:ascii="微软雅黑" w:hAnsi="微软雅黑" w:eastAsia="微软雅黑"/>
        </w:rPr>
        <w:t>人、以及5</w:t>
      </w:r>
      <w:r>
        <w:rPr>
          <w:rFonts w:ascii="微软雅黑" w:hAnsi="微软雅黑" w:eastAsia="微软雅黑"/>
        </w:rPr>
        <w:t>00-999</w:t>
      </w:r>
      <w:r>
        <w:rPr>
          <w:rFonts w:hint="eastAsia" w:ascii="微软雅黑" w:hAnsi="微软雅黑" w:eastAsia="微软雅黑"/>
        </w:rPr>
        <w:t>人企业的竞争指数依次以5</w:t>
      </w:r>
      <w:r>
        <w:rPr>
          <w:rFonts w:ascii="微软雅黑" w:hAnsi="微软雅黑" w:eastAsia="微软雅黑"/>
        </w:rPr>
        <w:t>8</w:t>
      </w:r>
      <w:r>
        <w:rPr>
          <w:rFonts w:hint="eastAsia" w:ascii="微软雅黑" w:hAnsi="微软雅黑" w:eastAsia="微软雅黑"/>
        </w:rPr>
        <w:t>、4</w:t>
      </w:r>
      <w:r>
        <w:rPr>
          <w:rFonts w:ascii="微软雅黑" w:hAnsi="微软雅黑" w:eastAsia="微软雅黑"/>
        </w:rPr>
        <w:t>9.9</w:t>
      </w:r>
      <w:r>
        <w:rPr>
          <w:rFonts w:hint="eastAsia" w:ascii="微软雅黑" w:hAnsi="微软雅黑" w:eastAsia="微软雅黑"/>
        </w:rPr>
        <w:t>排在其后。同比上，各规模企业竞争指数仅有规模在万人以上的超大型企业呈现上升趋势，同比增长4</w:t>
      </w:r>
      <w:r>
        <w:rPr>
          <w:rFonts w:ascii="微软雅黑" w:hAnsi="微软雅黑" w:eastAsia="微软雅黑"/>
        </w:rPr>
        <w:t>.5</w:t>
      </w:r>
      <w:r>
        <w:rPr>
          <w:rFonts w:hint="eastAsia" w:ascii="微软雅黑" w:hAnsi="微软雅黑" w:eastAsia="微软雅黑"/>
        </w:rPr>
        <w:t>。</w:t>
      </w:r>
    </w:p>
    <w:p>
      <w:pPr>
        <w:snapToGrid w:val="0"/>
        <w:ind w:firstLine="360"/>
        <w:jc w:val="both"/>
        <w:rPr>
          <w:rFonts w:ascii="微软雅黑" w:hAnsi="微软雅黑" w:eastAsia="微软雅黑"/>
        </w:rPr>
      </w:pPr>
      <w:r>
        <w:rPr>
          <w:rFonts w:hint="eastAsia" w:ascii="微软雅黑" w:hAnsi="微软雅黑" w:eastAsia="微软雅黑"/>
        </w:rPr>
        <w:t>从人才供需规模同比变化来看，万人以上超大型企业招聘与求职端增速突出，招聘职位数与简历投递量分别扩张</w:t>
      </w:r>
      <w:r>
        <w:rPr>
          <w:rFonts w:ascii="微软雅黑" w:hAnsi="微软雅黑" w:eastAsia="微软雅黑"/>
        </w:rPr>
        <w:t>112.5%</w:t>
      </w:r>
      <w:r>
        <w:rPr>
          <w:rFonts w:hint="eastAsia" w:ascii="微软雅黑" w:hAnsi="微软雅黑" w:eastAsia="微软雅黑"/>
        </w:rPr>
        <w:t>、1</w:t>
      </w:r>
      <w:r>
        <w:rPr>
          <w:rFonts w:ascii="微软雅黑" w:hAnsi="微软雅黑" w:eastAsia="微软雅黑"/>
        </w:rPr>
        <w:t>11.4%</w:t>
      </w:r>
      <w:r>
        <w:rPr>
          <w:rFonts w:hint="eastAsia" w:ascii="微软雅黑" w:hAnsi="微软雅黑" w:eastAsia="微软雅黑"/>
        </w:rPr>
        <w:t>。一方面，大企业自身抗风险能力强，在疫情中受影响相对较小；另一方面，疫情后求职者对稳定性强的大企业更加青睐，使得就业市场上人才供需两端都进一步向大企业集中。</w:t>
      </w:r>
    </w:p>
    <w:p>
      <w:pPr>
        <w:snapToGrid w:val="0"/>
        <w:jc w:val="both"/>
        <w:rPr>
          <w:rFonts w:ascii="微软雅黑" w:hAnsi="微软雅黑" w:eastAsia="微软雅黑"/>
        </w:rPr>
      </w:pPr>
      <w:r>
        <w:drawing>
          <wp:inline distT="0" distB="0" distL="0" distR="0">
            <wp:extent cx="5270500" cy="4051300"/>
            <wp:effectExtent l="0" t="0" r="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napToGrid w:val="0"/>
        <w:jc w:val="both"/>
        <w:rPr>
          <w:rFonts w:ascii="微软雅黑" w:hAnsi="微软雅黑" w:eastAsia="微软雅黑"/>
        </w:rPr>
      </w:pPr>
    </w:p>
    <w:p>
      <w:pPr>
        <w:pStyle w:val="10"/>
        <w:numPr>
          <w:ilvl w:val="0"/>
          <w:numId w:val="3"/>
        </w:numPr>
        <w:snapToGrid w:val="0"/>
        <w:ind w:left="357" w:hanging="357" w:firstLineChars="0"/>
        <w:jc w:val="both"/>
        <w:outlineLvl w:val="1"/>
        <w:rPr>
          <w:rFonts w:ascii="微软雅黑" w:hAnsi="微软雅黑" w:eastAsia="微软雅黑"/>
          <w:b/>
          <w:bCs/>
        </w:rPr>
      </w:pPr>
      <w:r>
        <w:rPr>
          <w:rFonts w:hint="eastAsia" w:ascii="微软雅黑" w:hAnsi="微软雅黑" w:eastAsia="微软雅黑"/>
          <w:b/>
          <w:bCs/>
        </w:rPr>
        <w:t>国企仍是竞争高地，上市公司释放更多就业机会</w:t>
      </w:r>
    </w:p>
    <w:p>
      <w:pPr>
        <w:snapToGrid w:val="0"/>
        <w:ind w:firstLine="360"/>
        <w:jc w:val="both"/>
        <w:rPr>
          <w:rFonts w:ascii="微软雅黑" w:hAnsi="微软雅黑" w:eastAsia="微软雅黑"/>
        </w:rPr>
      </w:pPr>
      <w:r>
        <w:rPr>
          <w:rFonts w:hint="eastAsia" w:ascii="微软雅黑" w:hAnsi="微软雅黑" w:eastAsia="微软雅黑"/>
        </w:rPr>
        <w:t>从不同性质企业的竞争指数来看，国有企业仍最为热门，平均7</w:t>
      </w:r>
      <w:r>
        <w:rPr>
          <w:rFonts w:ascii="微软雅黑" w:hAnsi="微软雅黑" w:eastAsia="微软雅黑"/>
        </w:rPr>
        <w:t>3.1</w:t>
      </w:r>
      <w:r>
        <w:rPr>
          <w:rFonts w:hint="eastAsia" w:ascii="微软雅黑" w:hAnsi="微软雅黑" w:eastAsia="微软雅黑"/>
        </w:rPr>
        <w:t>人投递一岗，上市公司竞争指数排在第二，为</w:t>
      </w:r>
      <w:r>
        <w:rPr>
          <w:rFonts w:ascii="微软雅黑" w:hAnsi="微软雅黑" w:eastAsia="微软雅黑"/>
        </w:rPr>
        <w:t>51.5</w:t>
      </w:r>
      <w:r>
        <w:rPr>
          <w:rFonts w:hint="eastAsia" w:ascii="微软雅黑" w:hAnsi="微软雅黑" w:eastAsia="微软雅黑"/>
        </w:rPr>
        <w:t>。</w:t>
      </w:r>
      <w:r>
        <w:rPr>
          <w:rFonts w:ascii="微软雅黑" w:hAnsi="微软雅黑" w:eastAsia="微软雅黑"/>
        </w:rPr>
        <w:t>2021</w:t>
      </w:r>
      <w:r>
        <w:rPr>
          <w:rFonts w:hint="eastAsia" w:ascii="微软雅黑" w:hAnsi="微软雅黑" w:eastAsia="微软雅黑"/>
        </w:rPr>
        <w:t>年春季各性质企业提供了较去年更宽松的求职环境，而环比上竞争指数则均呈现上升趋势。具体供需上，上市公司的招聘需求同比扩张8</w:t>
      </w:r>
      <w:r>
        <w:rPr>
          <w:rFonts w:ascii="微软雅黑" w:hAnsi="微软雅黑" w:eastAsia="微软雅黑"/>
        </w:rPr>
        <w:t>8.4%</w:t>
      </w:r>
      <w:r>
        <w:rPr>
          <w:rFonts w:hint="eastAsia" w:ascii="微软雅黑" w:hAnsi="微软雅黑" w:eastAsia="微软雅黑"/>
        </w:rPr>
        <w:t>，求职行为则上涨5</w:t>
      </w:r>
      <w:r>
        <w:rPr>
          <w:rFonts w:ascii="微软雅黑" w:hAnsi="微软雅黑" w:eastAsia="微软雅黑"/>
        </w:rPr>
        <w:t>3.8%</w:t>
      </w:r>
      <w:r>
        <w:rPr>
          <w:rFonts w:hint="eastAsia" w:ascii="微软雅黑" w:hAnsi="微软雅黑" w:eastAsia="微软雅黑"/>
        </w:rPr>
        <w:t>，在所有性质企业中增幅最高；此外，国企、民营企业、外商独资企业的招聘需求同比增速均过5成，分别为5</w:t>
      </w:r>
      <w:r>
        <w:rPr>
          <w:rFonts w:ascii="微软雅黑" w:hAnsi="微软雅黑" w:eastAsia="微软雅黑"/>
        </w:rPr>
        <w:t>6%</w:t>
      </w:r>
      <w:r>
        <w:rPr>
          <w:rFonts w:hint="eastAsia" w:ascii="微软雅黑" w:hAnsi="微软雅黑" w:eastAsia="微软雅黑"/>
        </w:rPr>
        <w:t>、5</w:t>
      </w:r>
      <w:r>
        <w:rPr>
          <w:rFonts w:ascii="微软雅黑" w:hAnsi="微软雅黑" w:eastAsia="微软雅黑"/>
        </w:rPr>
        <w:t>3.2%</w:t>
      </w:r>
      <w:r>
        <w:rPr>
          <w:rFonts w:hint="eastAsia" w:ascii="微软雅黑" w:hAnsi="微软雅黑" w:eastAsia="微软雅黑"/>
        </w:rPr>
        <w:t>和5</w:t>
      </w:r>
      <w:r>
        <w:rPr>
          <w:rFonts w:ascii="微软雅黑" w:hAnsi="微软雅黑" w:eastAsia="微软雅黑"/>
        </w:rPr>
        <w:t>2.5%</w:t>
      </w:r>
      <w:r>
        <w:rPr>
          <w:rFonts w:hint="eastAsia" w:ascii="微软雅黑" w:hAnsi="微软雅黑" w:eastAsia="微软雅黑"/>
        </w:rPr>
        <w:t>，为人才带来更多就业机会。</w:t>
      </w:r>
    </w:p>
    <w:p>
      <w:pPr>
        <w:snapToGrid w:val="0"/>
        <w:jc w:val="both"/>
        <w:rPr>
          <w:rFonts w:ascii="微软雅黑" w:hAnsi="微软雅黑" w:eastAsia="微软雅黑"/>
        </w:rPr>
      </w:pPr>
      <w:r>
        <w:drawing>
          <wp:inline distT="0" distB="0" distL="0" distR="0">
            <wp:extent cx="5270500" cy="3449955"/>
            <wp:effectExtent l="0" t="0" r="0" b="0"/>
            <wp:docPr id="18"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napToGrid w:val="0"/>
        <w:jc w:val="both"/>
        <w:rPr>
          <w:rFonts w:ascii="微软雅黑" w:hAnsi="微软雅黑" w:eastAsia="微软雅黑"/>
        </w:rPr>
      </w:pPr>
    </w:p>
    <w:p>
      <w:pPr>
        <w:pStyle w:val="10"/>
        <w:numPr>
          <w:ilvl w:val="0"/>
          <w:numId w:val="2"/>
        </w:numPr>
        <w:snapToGrid w:val="0"/>
        <w:ind w:firstLineChars="0"/>
        <w:jc w:val="both"/>
        <w:outlineLvl w:val="0"/>
        <w:rPr>
          <w:rFonts w:ascii="微软雅黑" w:hAnsi="微软雅黑" w:eastAsia="微软雅黑"/>
          <w:b/>
          <w:bCs/>
          <w:sz w:val="24"/>
        </w:rPr>
      </w:pPr>
      <w:r>
        <w:rPr>
          <w:rFonts w:hint="eastAsia" w:ascii="微软雅黑" w:hAnsi="微软雅黑" w:eastAsia="微软雅黑"/>
          <w:b/>
          <w:bCs/>
          <w:sz w:val="24"/>
        </w:rPr>
        <w:t>疫情后武汉就业市场快速回暖，北京招聘职位数同比增近9成</w:t>
      </w:r>
    </w:p>
    <w:p>
      <w:pPr>
        <w:snapToGrid w:val="0"/>
        <w:ind w:firstLine="420"/>
        <w:jc w:val="both"/>
        <w:rPr>
          <w:rFonts w:ascii="微软雅黑" w:hAnsi="微软雅黑" w:eastAsia="微软雅黑"/>
        </w:rPr>
      </w:pPr>
      <w:r>
        <w:rPr>
          <w:rFonts w:hint="eastAsia" w:ascii="微软雅黑" w:hAnsi="微软雅黑" w:eastAsia="微软雅黑"/>
        </w:rPr>
        <w:t>在全国3</w:t>
      </w:r>
      <w:r>
        <w:rPr>
          <w:rFonts w:ascii="微软雅黑" w:hAnsi="微软雅黑" w:eastAsia="微软雅黑"/>
        </w:rPr>
        <w:t>8</w:t>
      </w:r>
      <w:r>
        <w:rPr>
          <w:rFonts w:hint="eastAsia" w:ascii="微软雅黑" w:hAnsi="微软雅黑" w:eastAsia="微软雅黑"/>
        </w:rPr>
        <w:t>个核心城市中，2</w:t>
      </w:r>
      <w:r>
        <w:rPr>
          <w:rFonts w:ascii="微软雅黑" w:hAnsi="微软雅黑" w:eastAsia="微软雅黑"/>
        </w:rPr>
        <w:t>021</w:t>
      </w:r>
      <w:r>
        <w:rPr>
          <w:rFonts w:hint="eastAsia" w:ascii="微软雅黑" w:hAnsi="微软雅黑" w:eastAsia="微软雅黑"/>
        </w:rPr>
        <w:t>年春季求职期，北京的竞争指数继续排在全国之首，为8</w:t>
      </w:r>
      <w:r>
        <w:rPr>
          <w:rFonts w:ascii="微软雅黑" w:hAnsi="微软雅黑" w:eastAsia="微软雅黑"/>
        </w:rPr>
        <w:t>7.3</w:t>
      </w:r>
      <w:r>
        <w:rPr>
          <w:rFonts w:hint="eastAsia" w:ascii="微软雅黑" w:hAnsi="微软雅黑" w:eastAsia="微软雅黑"/>
        </w:rPr>
        <w:t>，沈阳（6</w:t>
      </w:r>
      <w:r>
        <w:rPr>
          <w:rFonts w:ascii="微软雅黑" w:hAnsi="微软雅黑" w:eastAsia="微软雅黑"/>
        </w:rPr>
        <w:t>4</w:t>
      </w:r>
      <w:r>
        <w:rPr>
          <w:rFonts w:hint="eastAsia" w:ascii="微软雅黑" w:hAnsi="微软雅黑" w:eastAsia="微软雅黑"/>
        </w:rPr>
        <w:t>）、贵阳（6</w:t>
      </w:r>
      <w:r>
        <w:rPr>
          <w:rFonts w:ascii="微软雅黑" w:hAnsi="微软雅黑" w:eastAsia="微软雅黑"/>
        </w:rPr>
        <w:t>2.9</w:t>
      </w:r>
      <w:r>
        <w:rPr>
          <w:rFonts w:hint="eastAsia" w:ascii="微软雅黑" w:hAnsi="微软雅黑" w:eastAsia="微软雅黑"/>
        </w:rPr>
        <w:t>）、天津（6</w:t>
      </w:r>
      <w:r>
        <w:rPr>
          <w:rFonts w:ascii="微软雅黑" w:hAnsi="微软雅黑" w:eastAsia="微软雅黑"/>
        </w:rPr>
        <w:t>1.1</w:t>
      </w:r>
      <w:r>
        <w:rPr>
          <w:rFonts w:hint="eastAsia" w:ascii="微软雅黑" w:hAnsi="微软雅黑" w:eastAsia="微软雅黑"/>
        </w:rPr>
        <w:t>）依次排在其后。</w:t>
      </w:r>
    </w:p>
    <w:p>
      <w:pPr>
        <w:snapToGrid w:val="0"/>
        <w:ind w:firstLine="420"/>
        <w:jc w:val="both"/>
        <w:rPr>
          <w:rFonts w:ascii="微软雅黑" w:hAnsi="微软雅黑" w:eastAsia="微软雅黑"/>
        </w:rPr>
      </w:pPr>
      <w:r>
        <w:rPr>
          <w:rFonts w:hint="eastAsia" w:ascii="微软雅黑" w:hAnsi="微软雅黑" w:eastAsia="微软雅黑"/>
        </w:rPr>
        <w:t>经历疫情后，武汉市就业</w:t>
      </w:r>
      <w:r>
        <w:rPr>
          <w:rFonts w:ascii="微软雅黑" w:hAnsi="微软雅黑" w:eastAsia="微软雅黑"/>
        </w:rPr>
        <w:t>市场</w:t>
      </w:r>
      <w:r>
        <w:rPr>
          <w:rFonts w:hint="eastAsia" w:ascii="微软雅黑" w:hAnsi="微软雅黑" w:eastAsia="微软雅黑"/>
        </w:rPr>
        <w:t>快</w:t>
      </w:r>
      <w:r>
        <w:rPr>
          <w:rFonts w:ascii="微软雅黑" w:hAnsi="微软雅黑" w:eastAsia="微软雅黑"/>
        </w:rPr>
        <w:t>速恢复</w:t>
      </w:r>
      <w:r>
        <w:rPr>
          <w:rFonts w:hint="eastAsia" w:ascii="微软雅黑" w:hAnsi="微软雅黑" w:eastAsia="微软雅黑"/>
        </w:rPr>
        <w:t>，竞争指数同比增幅最高，指数增长1</w:t>
      </w:r>
      <w:r>
        <w:rPr>
          <w:rFonts w:ascii="微软雅黑" w:hAnsi="微软雅黑" w:eastAsia="微软雅黑"/>
        </w:rPr>
        <w:t>5.2</w:t>
      </w:r>
      <w:r>
        <w:rPr>
          <w:rFonts w:hint="eastAsia" w:ascii="微软雅黑" w:hAnsi="微软雅黑" w:eastAsia="微软雅黑"/>
        </w:rPr>
        <w:t>后达到3</w:t>
      </w:r>
      <w:r>
        <w:rPr>
          <w:rFonts w:ascii="微软雅黑" w:hAnsi="微软雅黑" w:eastAsia="微软雅黑"/>
        </w:rPr>
        <w:t>7.2</w:t>
      </w:r>
      <w:r>
        <w:rPr>
          <w:rFonts w:hint="eastAsia" w:ascii="微软雅黑" w:hAnsi="微软雅黑" w:eastAsia="微软雅黑"/>
        </w:rPr>
        <w:t>。从供需两端分析，较去年春季，武汉市招聘职位数上涨1</w:t>
      </w:r>
      <w:r>
        <w:rPr>
          <w:rFonts w:ascii="微软雅黑" w:hAnsi="微软雅黑" w:eastAsia="微软雅黑"/>
        </w:rPr>
        <w:t>91.9%</w:t>
      </w:r>
      <w:r>
        <w:rPr>
          <w:rFonts w:hint="eastAsia" w:ascii="微软雅黑" w:hAnsi="微软雅黑" w:eastAsia="微软雅黑"/>
        </w:rPr>
        <w:t>，人才的简历投递行为更是达到3</w:t>
      </w:r>
      <w:r>
        <w:rPr>
          <w:rFonts w:ascii="微软雅黑" w:hAnsi="微软雅黑" w:eastAsia="微软雅黑"/>
        </w:rPr>
        <w:t>60.1%</w:t>
      </w:r>
      <w:r>
        <w:rPr>
          <w:rFonts w:hint="eastAsia" w:ascii="微软雅黑" w:hAnsi="微软雅黑" w:eastAsia="微软雅黑"/>
        </w:rPr>
        <w:t>的增速，在全国核心城市中首屈一指。</w:t>
      </w:r>
    </w:p>
    <w:p>
      <w:pPr>
        <w:snapToGrid w:val="0"/>
        <w:ind w:firstLine="420"/>
        <w:jc w:val="both"/>
        <w:rPr>
          <w:rFonts w:ascii="微软雅黑" w:hAnsi="微软雅黑" w:eastAsia="微软雅黑"/>
        </w:rPr>
      </w:pPr>
      <w:r>
        <w:rPr>
          <w:rFonts w:hint="eastAsia" w:ascii="微软雅黑" w:hAnsi="微软雅黑" w:eastAsia="微软雅黑"/>
        </w:rPr>
        <w:t>竞争指数同比增长较快的城市还有哈尔滨、海口、天津，分别增长1</w:t>
      </w:r>
      <w:r>
        <w:rPr>
          <w:rFonts w:ascii="微软雅黑" w:hAnsi="微软雅黑" w:eastAsia="微软雅黑"/>
        </w:rPr>
        <w:t>3.6</w:t>
      </w:r>
      <w:r>
        <w:rPr>
          <w:rFonts w:hint="eastAsia" w:ascii="微软雅黑" w:hAnsi="微软雅黑" w:eastAsia="微软雅黑"/>
        </w:rPr>
        <w:t>、1</w:t>
      </w:r>
      <w:r>
        <w:rPr>
          <w:rFonts w:ascii="微软雅黑" w:hAnsi="微软雅黑" w:eastAsia="微软雅黑"/>
        </w:rPr>
        <w:t>0.3</w:t>
      </w:r>
      <w:r>
        <w:rPr>
          <w:rFonts w:hint="eastAsia" w:ascii="微软雅黑" w:hAnsi="微软雅黑" w:eastAsia="微软雅黑"/>
        </w:rPr>
        <w:t>、9</w:t>
      </w:r>
      <w:r>
        <w:rPr>
          <w:rFonts w:ascii="微软雅黑" w:hAnsi="微软雅黑" w:eastAsia="微软雅黑"/>
        </w:rPr>
        <w:t>.9</w:t>
      </w:r>
      <w:r>
        <w:rPr>
          <w:rFonts w:hint="eastAsia" w:ascii="微软雅黑" w:hAnsi="微软雅黑" w:eastAsia="微软雅黑"/>
        </w:rPr>
        <w:t>，其中，随2</w:t>
      </w:r>
      <w:r>
        <w:rPr>
          <w:rFonts w:ascii="微软雅黑" w:hAnsi="微软雅黑" w:eastAsia="微软雅黑"/>
        </w:rPr>
        <w:t>020</w:t>
      </w:r>
      <w:r>
        <w:rPr>
          <w:rFonts w:hint="eastAsia" w:ascii="微软雅黑" w:hAnsi="微软雅黑" w:eastAsia="微软雅黑"/>
        </w:rPr>
        <w:t>年海南自由贸易港全面开放，海南市产业发展与引才机制初见成效，海口市在招聘求职两端分别同比猛增7</w:t>
      </w:r>
      <w:r>
        <w:rPr>
          <w:rFonts w:ascii="微软雅黑" w:hAnsi="微软雅黑" w:eastAsia="微软雅黑"/>
        </w:rPr>
        <w:t>5.8%</w:t>
      </w:r>
      <w:r>
        <w:rPr>
          <w:rFonts w:hint="eastAsia" w:ascii="微软雅黑" w:hAnsi="微软雅黑" w:eastAsia="微软雅黑"/>
        </w:rPr>
        <w:t>、1</w:t>
      </w:r>
      <w:r>
        <w:rPr>
          <w:rFonts w:ascii="微软雅黑" w:hAnsi="微软雅黑" w:eastAsia="微软雅黑"/>
        </w:rPr>
        <w:t>22.9%</w:t>
      </w:r>
      <w:r>
        <w:rPr>
          <w:rFonts w:hint="eastAsia" w:ascii="微软雅黑" w:hAnsi="微软雅黑" w:eastAsia="微软雅黑"/>
        </w:rPr>
        <w:t>。此外，在招聘需求扩张的城市中，北京（8</w:t>
      </w:r>
      <w:r>
        <w:rPr>
          <w:rFonts w:ascii="微软雅黑" w:hAnsi="微软雅黑" w:eastAsia="微软雅黑"/>
        </w:rPr>
        <w:t>6.6%</w:t>
      </w:r>
      <w:r>
        <w:rPr>
          <w:rFonts w:hint="eastAsia" w:ascii="微软雅黑" w:hAnsi="微软雅黑" w:eastAsia="微软雅黑"/>
        </w:rPr>
        <w:t>）、深圳（7</w:t>
      </w:r>
      <w:r>
        <w:rPr>
          <w:rFonts w:ascii="微软雅黑" w:hAnsi="微软雅黑" w:eastAsia="微软雅黑"/>
        </w:rPr>
        <w:t>2.2%</w:t>
      </w:r>
      <w:r>
        <w:rPr>
          <w:rFonts w:hint="eastAsia" w:ascii="微软雅黑" w:hAnsi="微软雅黑" w:eastAsia="微软雅黑"/>
        </w:rPr>
        <w:t>）、上海（4</w:t>
      </w:r>
      <w:r>
        <w:rPr>
          <w:rFonts w:ascii="微软雅黑" w:hAnsi="微软雅黑" w:eastAsia="微软雅黑"/>
        </w:rPr>
        <w:t>9.7%</w:t>
      </w:r>
      <w:r>
        <w:rPr>
          <w:rFonts w:hint="eastAsia" w:ascii="微软雅黑" w:hAnsi="微软雅黑" w:eastAsia="微软雅黑"/>
        </w:rPr>
        <w:t>）、广州（4</w:t>
      </w:r>
      <w:r>
        <w:rPr>
          <w:rFonts w:ascii="微软雅黑" w:hAnsi="微软雅黑" w:eastAsia="微软雅黑"/>
        </w:rPr>
        <w:t>2.7%</w:t>
      </w:r>
      <w:r>
        <w:rPr>
          <w:rFonts w:hint="eastAsia" w:ascii="微软雅黑" w:hAnsi="微软雅黑" w:eastAsia="微软雅黑"/>
        </w:rPr>
        <w:t>）等一线城市表现亮眼，且均高于相应的简历投递量同比增幅，为求职者创造了更宽松的竞争环境。</w:t>
      </w:r>
    </w:p>
    <w:p>
      <w:pPr>
        <w:snapToGrid w:val="0"/>
        <w:jc w:val="both"/>
        <w:rPr>
          <w:rFonts w:ascii="微软雅黑" w:hAnsi="微软雅黑" w:eastAsia="微软雅黑"/>
        </w:rPr>
      </w:pPr>
      <w:r>
        <w:drawing>
          <wp:inline distT="0" distB="0" distL="0" distR="0">
            <wp:extent cx="5270500" cy="490791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70500" cy="4908177"/>
                    </a:xfrm>
                    <a:prstGeom prst="rect">
                      <a:avLst/>
                    </a:prstGeom>
                    <a:noFill/>
                    <a:ln>
                      <a:noFill/>
                    </a:ln>
                  </pic:spPr>
                </pic:pic>
              </a:graphicData>
            </a:graphic>
          </wp:inline>
        </w:drawing>
      </w:r>
    </w:p>
    <w:p>
      <w:pPr>
        <w:snapToGrid w:val="0"/>
        <w:ind w:right="210"/>
        <w:jc w:val="both"/>
        <w:rPr>
          <w:rFonts w:ascii="微软雅黑" w:hAnsi="微软雅黑" w:eastAsia="微软雅黑"/>
        </w:rPr>
      </w:pPr>
    </w:p>
    <w:p>
      <w:pPr>
        <w:pStyle w:val="10"/>
        <w:numPr>
          <w:ilvl w:val="0"/>
          <w:numId w:val="2"/>
        </w:numPr>
        <w:snapToGrid w:val="0"/>
        <w:ind w:right="210" w:firstLineChars="0"/>
        <w:jc w:val="both"/>
        <w:outlineLvl w:val="0"/>
        <w:rPr>
          <w:rFonts w:ascii="微软雅黑" w:hAnsi="微软雅黑" w:eastAsia="微软雅黑"/>
          <w:b/>
          <w:bCs/>
          <w:sz w:val="24"/>
        </w:rPr>
      </w:pPr>
      <w:bookmarkStart w:id="0" w:name="OLE_LINK1"/>
      <w:r>
        <w:rPr>
          <w:rFonts w:hint="eastAsia" w:ascii="微软雅黑" w:hAnsi="微软雅黑" w:eastAsia="微软雅黑"/>
          <w:b/>
          <w:bCs/>
          <w:sz w:val="24"/>
        </w:rPr>
        <w:t>互联网/电子商务竞争减缓，餐饮娱乐等消费领域逐步复苏</w:t>
      </w:r>
    </w:p>
    <w:bookmarkEnd w:id="0"/>
    <w:p>
      <w:pPr>
        <w:snapToGrid w:val="0"/>
        <w:ind w:firstLine="420"/>
        <w:jc w:val="both"/>
        <w:rPr>
          <w:rFonts w:ascii="微软雅黑" w:hAnsi="微软雅黑" w:eastAsia="微软雅黑"/>
        </w:rPr>
      </w:pPr>
      <w:r>
        <w:rPr>
          <w:rFonts w:hint="eastAsia" w:ascii="微软雅黑" w:hAnsi="微软雅黑" w:eastAsia="微软雅黑"/>
        </w:rPr>
        <w:t>从不同行业的竞争指数来看，2</w:t>
      </w:r>
      <w:r>
        <w:rPr>
          <w:rFonts w:ascii="微软雅黑" w:hAnsi="微软雅黑" w:eastAsia="微软雅黑"/>
        </w:rPr>
        <w:t>021</w:t>
      </w:r>
      <w:r>
        <w:rPr>
          <w:rFonts w:hint="eastAsia" w:ascii="微软雅黑" w:hAnsi="微软雅黑" w:eastAsia="微软雅黑"/>
        </w:rPr>
        <w:t>年春季房地产/建筑/建材/工程行业仍位居第一，竞争指数达到7</w:t>
      </w:r>
      <w:r>
        <w:rPr>
          <w:rFonts w:ascii="微软雅黑" w:hAnsi="微软雅黑" w:eastAsia="微软雅黑"/>
        </w:rPr>
        <w:t>8.9</w:t>
      </w:r>
      <w:r>
        <w:rPr>
          <w:rFonts w:hint="eastAsia" w:ascii="微软雅黑" w:hAnsi="微软雅黑" w:eastAsia="微软雅黑"/>
        </w:rPr>
        <w:t>，略高于去年同期3</w:t>
      </w:r>
      <w:r>
        <w:rPr>
          <w:rFonts w:ascii="微软雅黑" w:hAnsi="微软雅黑" w:eastAsia="微软雅黑"/>
        </w:rPr>
        <w:t>.3</w:t>
      </w:r>
      <w:r>
        <w:rPr>
          <w:rFonts w:hint="eastAsia" w:ascii="微软雅黑" w:hAnsi="微软雅黑" w:eastAsia="微软雅黑"/>
        </w:rPr>
        <w:t>。而互联网/电子商务以5</w:t>
      </w:r>
      <w:r>
        <w:rPr>
          <w:rFonts w:ascii="微软雅黑" w:hAnsi="微软雅黑" w:eastAsia="微软雅黑"/>
        </w:rPr>
        <w:t>7.6</w:t>
      </w:r>
      <w:r>
        <w:rPr>
          <w:rFonts w:hint="eastAsia" w:ascii="微软雅黑" w:hAnsi="微软雅黑" w:eastAsia="微软雅黑"/>
        </w:rPr>
        <w:t>的竞争指数位居第二，同比下降6，这主要由于该行业招聘职位数同比扩张6</w:t>
      </w:r>
      <w:r>
        <w:rPr>
          <w:rFonts w:ascii="微软雅黑" w:hAnsi="微软雅黑" w:eastAsia="微软雅黑"/>
        </w:rPr>
        <w:t>4.5%</w:t>
      </w:r>
      <w:r>
        <w:rPr>
          <w:rFonts w:hint="eastAsia" w:ascii="微软雅黑" w:hAnsi="微软雅黑" w:eastAsia="微软雅黑"/>
        </w:rPr>
        <w:t>，而求职端行为增速为3</w:t>
      </w:r>
      <w:r>
        <w:rPr>
          <w:rFonts w:ascii="微软雅黑" w:hAnsi="微软雅黑" w:eastAsia="微软雅黑"/>
        </w:rPr>
        <w:t>1.9%</w:t>
      </w:r>
      <w:r>
        <w:rPr>
          <w:rFonts w:hint="eastAsia" w:ascii="微软雅黑" w:hAnsi="微软雅黑" w:eastAsia="微软雅黑"/>
        </w:rPr>
        <w:t>，求职者间竞争激烈程度下降。</w:t>
      </w:r>
    </w:p>
    <w:p>
      <w:pPr>
        <w:snapToGrid w:val="0"/>
        <w:ind w:firstLine="420"/>
        <w:jc w:val="both"/>
        <w:rPr>
          <w:rFonts w:ascii="微软雅黑" w:hAnsi="微软雅黑" w:eastAsia="微软雅黑"/>
        </w:rPr>
      </w:pPr>
      <w:r>
        <w:rPr>
          <w:rFonts w:hint="eastAsia" w:ascii="微软雅黑" w:hAnsi="微软雅黑" w:eastAsia="微软雅黑"/>
        </w:rPr>
        <w:t>随疫情影响消退，消费领域逐步回暖，带动人才需求同比上涨。本季度招聘职位数涨幅亮眼的行业有中介服务（1</w:t>
      </w:r>
      <w:r>
        <w:rPr>
          <w:rFonts w:ascii="微软雅黑" w:hAnsi="微软雅黑" w:eastAsia="微软雅黑"/>
        </w:rPr>
        <w:t>86.7%</w:t>
      </w:r>
      <w:r>
        <w:rPr>
          <w:rFonts w:hint="eastAsia" w:ascii="微软雅黑" w:hAnsi="微软雅黑" w:eastAsia="微软雅黑"/>
        </w:rPr>
        <w:t>）、娱乐/体育/休闲（1</w:t>
      </w:r>
      <w:r>
        <w:rPr>
          <w:rFonts w:ascii="微软雅黑" w:hAnsi="微软雅黑" w:eastAsia="微软雅黑"/>
        </w:rPr>
        <w:t>27.1%</w:t>
      </w:r>
      <w:r>
        <w:rPr>
          <w:rFonts w:hint="eastAsia" w:ascii="微软雅黑" w:hAnsi="微软雅黑" w:eastAsia="微软雅黑"/>
        </w:rPr>
        <w:t>）、酒店/餐饮（1</w:t>
      </w:r>
      <w:r>
        <w:rPr>
          <w:rFonts w:ascii="微软雅黑" w:hAnsi="微软雅黑" w:eastAsia="微软雅黑"/>
        </w:rPr>
        <w:t>14.5%</w:t>
      </w:r>
      <w:r>
        <w:rPr>
          <w:rFonts w:hint="eastAsia" w:ascii="微软雅黑" w:hAnsi="微软雅黑" w:eastAsia="微软雅黑"/>
        </w:rPr>
        <w:t>）、零售/批发（1</w:t>
      </w:r>
      <w:r>
        <w:rPr>
          <w:rFonts w:ascii="微软雅黑" w:hAnsi="微软雅黑" w:eastAsia="微软雅黑"/>
        </w:rPr>
        <w:t>09%</w:t>
      </w:r>
      <w:r>
        <w:rPr>
          <w:rFonts w:hint="eastAsia" w:ascii="微软雅黑" w:hAnsi="微软雅黑" w:eastAsia="微软雅黑"/>
        </w:rPr>
        <w:t>）。</w:t>
      </w:r>
      <w:r>
        <w:rPr>
          <w:rFonts w:ascii="微软雅黑" w:hAnsi="微软雅黑" w:eastAsia="微软雅黑"/>
        </w:rPr>
        <w:t>娱乐/体育/休闲行业</w:t>
      </w:r>
      <w:r>
        <w:rPr>
          <w:rFonts w:hint="eastAsia" w:ascii="微软雅黑" w:hAnsi="微软雅黑" w:eastAsia="微软雅黑"/>
        </w:rPr>
        <w:t>主要</w:t>
      </w:r>
      <w:r>
        <w:rPr>
          <w:rFonts w:ascii="微软雅黑" w:hAnsi="微软雅黑" w:eastAsia="微软雅黑"/>
        </w:rPr>
        <w:t>受益于疫后线上消费/娱乐的快速增长，</w:t>
      </w:r>
      <w:r>
        <w:rPr>
          <w:rFonts w:hint="eastAsia" w:ascii="微软雅黑" w:hAnsi="微软雅黑" w:eastAsia="微软雅黑"/>
        </w:rPr>
        <w:t>风口下直播相关岗位增长突出。中介</w:t>
      </w:r>
      <w:r>
        <w:rPr>
          <w:rFonts w:ascii="微软雅黑" w:hAnsi="微软雅黑" w:eastAsia="微软雅黑"/>
        </w:rPr>
        <w:t>服务</w:t>
      </w:r>
      <w:r>
        <w:rPr>
          <w:rFonts w:hint="eastAsia" w:ascii="微软雅黑" w:hAnsi="微软雅黑" w:eastAsia="微软雅黑"/>
        </w:rPr>
        <w:t>行业中领涨的岗位是房产中介，这首先与去年以来房地产投资与销售复苏有关，今年1</w:t>
      </w:r>
      <w:r>
        <w:rPr>
          <w:rFonts w:ascii="微软雅黑" w:hAnsi="微软雅黑" w:eastAsia="微软雅黑"/>
        </w:rPr>
        <w:t>-2</w:t>
      </w:r>
      <w:r>
        <w:rPr>
          <w:rFonts w:hint="eastAsia" w:ascii="微软雅黑" w:hAnsi="微软雅黑" w:eastAsia="微软雅黑"/>
        </w:rPr>
        <w:t>月商品房销售面积同比增长1</w:t>
      </w:r>
      <w:r>
        <w:rPr>
          <w:rFonts w:ascii="微软雅黑" w:hAnsi="微软雅黑" w:eastAsia="微软雅黑"/>
        </w:rPr>
        <w:t>.05</w:t>
      </w:r>
      <w:r>
        <w:rPr>
          <w:rFonts w:hint="eastAsia" w:ascii="微软雅黑" w:hAnsi="微软雅黑" w:eastAsia="微软雅黑"/>
        </w:rPr>
        <w:t>倍、商品房销售额同比增长1</w:t>
      </w:r>
      <w:r>
        <w:rPr>
          <w:rFonts w:ascii="微软雅黑" w:hAnsi="微软雅黑" w:eastAsia="微软雅黑"/>
        </w:rPr>
        <w:t>.33</w:t>
      </w:r>
      <w:r>
        <w:rPr>
          <w:rFonts w:hint="eastAsia" w:ascii="微软雅黑" w:hAnsi="微软雅黑" w:eastAsia="微软雅黑"/>
        </w:rPr>
        <w:t>倍。加之房地产行业人才流动性本身较强，招聘需求也大幅提高。</w:t>
      </w:r>
    </w:p>
    <w:p>
      <w:pPr>
        <w:snapToGrid w:val="0"/>
        <w:ind w:right="210"/>
        <w:jc w:val="both"/>
        <w:rPr>
          <w:rFonts w:ascii="微软雅黑" w:hAnsi="微软雅黑" w:eastAsia="微软雅黑"/>
        </w:rPr>
      </w:pPr>
      <w:r>
        <w:drawing>
          <wp:inline distT="0" distB="0" distL="0" distR="0">
            <wp:extent cx="5270500" cy="3879850"/>
            <wp:effectExtent l="0" t="0" r="0" b="635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270500" cy="3880220"/>
                    </a:xfrm>
                    <a:prstGeom prst="rect">
                      <a:avLst/>
                    </a:prstGeom>
                    <a:noFill/>
                    <a:ln>
                      <a:noFill/>
                    </a:ln>
                  </pic:spPr>
                </pic:pic>
              </a:graphicData>
            </a:graphic>
          </wp:inline>
        </w:drawing>
      </w:r>
    </w:p>
    <w:p>
      <w:pPr>
        <w:snapToGrid w:val="0"/>
        <w:ind w:right="210"/>
        <w:jc w:val="both"/>
        <w:rPr>
          <w:rFonts w:ascii="微软雅黑" w:hAnsi="微软雅黑" w:eastAsia="微软雅黑"/>
        </w:rPr>
      </w:pPr>
    </w:p>
    <w:p>
      <w:pPr>
        <w:pStyle w:val="10"/>
        <w:numPr>
          <w:ilvl w:val="0"/>
          <w:numId w:val="2"/>
        </w:numPr>
        <w:snapToGrid w:val="0"/>
        <w:ind w:right="210" w:firstLineChars="0"/>
        <w:jc w:val="both"/>
        <w:outlineLvl w:val="0"/>
        <w:rPr>
          <w:rFonts w:ascii="微软雅黑" w:hAnsi="微软雅黑" w:eastAsia="微软雅黑"/>
          <w:b/>
          <w:bCs/>
          <w:sz w:val="24"/>
        </w:rPr>
      </w:pPr>
      <w:r>
        <w:rPr>
          <w:rFonts w:hint="eastAsia" w:ascii="微软雅黑" w:hAnsi="微软雅黑" w:eastAsia="微软雅黑"/>
          <w:b/>
          <w:bCs/>
          <w:sz w:val="24"/>
        </w:rPr>
        <w:t>技工/家政等一线生产及服务人员供需两旺</w:t>
      </w:r>
    </w:p>
    <w:p>
      <w:pPr>
        <w:snapToGrid w:val="0"/>
        <w:ind w:firstLine="420"/>
        <w:jc w:val="both"/>
        <w:rPr>
          <w:rFonts w:ascii="微软雅黑" w:hAnsi="微软雅黑" w:eastAsia="微软雅黑"/>
        </w:rPr>
      </w:pPr>
      <w:r>
        <w:rPr>
          <w:rFonts w:hint="eastAsia" w:ascii="微软雅黑" w:hAnsi="微软雅黑" w:eastAsia="微软雅黑"/>
        </w:rPr>
        <w:t>智联招聘在线数据显示，2</w:t>
      </w:r>
      <w:r>
        <w:rPr>
          <w:rFonts w:ascii="微软雅黑" w:hAnsi="微软雅黑" w:eastAsia="微软雅黑"/>
        </w:rPr>
        <w:t>021</w:t>
      </w:r>
      <w:r>
        <w:rPr>
          <w:rFonts w:hint="eastAsia" w:ascii="微软雅黑" w:hAnsi="微软雅黑" w:eastAsia="微软雅黑"/>
        </w:rPr>
        <w:t>年第一季度交通运输服务竞争指数排在首位，达到1</w:t>
      </w:r>
      <w:r>
        <w:rPr>
          <w:rFonts w:ascii="微软雅黑" w:hAnsi="微软雅黑" w:eastAsia="微软雅黑"/>
        </w:rPr>
        <w:t>96.7</w:t>
      </w:r>
      <w:r>
        <w:rPr>
          <w:rFonts w:hint="eastAsia" w:ascii="微软雅黑" w:hAnsi="微软雅黑" w:eastAsia="微软雅黑"/>
        </w:rPr>
        <w:t>，但同比下降1</w:t>
      </w:r>
      <w:r>
        <w:rPr>
          <w:rFonts w:ascii="微软雅黑" w:hAnsi="微软雅黑" w:eastAsia="微软雅黑"/>
        </w:rPr>
        <w:t>6.5</w:t>
      </w:r>
      <w:r>
        <w:rPr>
          <w:rFonts w:hint="eastAsia" w:ascii="微软雅黑" w:hAnsi="微软雅黑" w:eastAsia="微软雅黑"/>
        </w:rPr>
        <w:t>，这主要是由于招聘需求同比增长超过一倍，降低了竞争热度。交通运输部数据显示，</w:t>
      </w:r>
      <w:r>
        <w:rPr>
          <w:rFonts w:ascii="微软雅黑" w:hAnsi="微软雅黑" w:eastAsia="微软雅黑"/>
        </w:rPr>
        <w:t>今年1月至2月，交通运输主要指标</w:t>
      </w:r>
      <w:r>
        <w:rPr>
          <w:rFonts w:hint="eastAsia" w:ascii="微软雅黑" w:hAnsi="微软雅黑" w:eastAsia="微软雅黑"/>
        </w:rPr>
        <w:t>均较去年大幅增长，</w:t>
      </w:r>
      <w:r>
        <w:rPr>
          <w:rFonts w:ascii="微软雅黑" w:hAnsi="微软雅黑" w:eastAsia="微软雅黑"/>
        </w:rPr>
        <w:t>中心城市客运量</w:t>
      </w:r>
      <w:r>
        <w:rPr>
          <w:rFonts w:hint="eastAsia" w:ascii="微软雅黑" w:hAnsi="微软雅黑" w:eastAsia="微软雅黑"/>
        </w:rPr>
        <w:t>同比增长5</w:t>
      </w:r>
      <w:r>
        <w:rPr>
          <w:rFonts w:ascii="微软雅黑" w:hAnsi="微软雅黑" w:eastAsia="微软雅黑"/>
        </w:rPr>
        <w:t>0.4%</w:t>
      </w:r>
      <w:r>
        <w:rPr>
          <w:rFonts w:hint="eastAsia" w:ascii="微软雅黑" w:hAnsi="微软雅黑" w:eastAsia="微软雅黑"/>
        </w:rPr>
        <w:t>、</w:t>
      </w:r>
      <w:r>
        <w:rPr>
          <w:rFonts w:ascii="微软雅黑" w:hAnsi="微软雅黑" w:eastAsia="微软雅黑"/>
        </w:rPr>
        <w:t>营业性货运量</w:t>
      </w:r>
      <w:r>
        <w:rPr>
          <w:rFonts w:hint="eastAsia" w:ascii="微软雅黑" w:hAnsi="微软雅黑" w:eastAsia="微软雅黑"/>
        </w:rPr>
        <w:t>也增长4</w:t>
      </w:r>
      <w:r>
        <w:rPr>
          <w:rFonts w:ascii="微软雅黑" w:hAnsi="微软雅黑" w:eastAsia="微软雅黑"/>
        </w:rPr>
        <w:t>8.3%</w:t>
      </w:r>
      <w:r>
        <w:rPr>
          <w:rFonts w:hint="eastAsia" w:ascii="微软雅黑" w:hAnsi="微软雅黑" w:eastAsia="微软雅黑"/>
        </w:rPr>
        <w:t>，纷纷为人才招聘市场增添活力。</w:t>
      </w:r>
    </w:p>
    <w:p>
      <w:pPr>
        <w:snapToGrid w:val="0"/>
        <w:ind w:firstLine="420"/>
        <w:jc w:val="both"/>
        <w:rPr>
          <w:rFonts w:ascii="微软雅黑" w:hAnsi="微软雅黑" w:eastAsia="微软雅黑"/>
        </w:rPr>
      </w:pPr>
      <w:r>
        <w:rPr>
          <w:rFonts w:hint="eastAsia" w:ascii="微软雅黑" w:hAnsi="微软雅黑" w:eastAsia="微软雅黑"/>
        </w:rPr>
        <w:t>此外，与去年第一季度相比，蓝领岗位招聘求职双端均有明显增长。服装/纺织/皮革设计/生产、技工/操作工、社区/居民/家政服务、保健/美容/美发/健身岗位招聘需求分别较去年扩张1</w:t>
      </w:r>
      <w:r>
        <w:rPr>
          <w:rFonts w:ascii="微软雅黑" w:hAnsi="微软雅黑" w:eastAsia="微软雅黑"/>
        </w:rPr>
        <w:t>35.8</w:t>
      </w:r>
      <w:r>
        <w:rPr>
          <w:rFonts w:hint="eastAsia" w:ascii="微软雅黑" w:hAnsi="微软雅黑" w:eastAsia="微软雅黑"/>
        </w:rPr>
        <w:t>%、9</w:t>
      </w:r>
      <w:r>
        <w:rPr>
          <w:rFonts w:ascii="微软雅黑" w:hAnsi="微软雅黑" w:eastAsia="微软雅黑"/>
        </w:rPr>
        <w:t>6.3%</w:t>
      </w:r>
      <w:r>
        <w:rPr>
          <w:rFonts w:hint="eastAsia" w:ascii="微软雅黑" w:hAnsi="微软雅黑" w:eastAsia="微软雅黑"/>
        </w:rPr>
        <w:t>、8</w:t>
      </w:r>
      <w:r>
        <w:rPr>
          <w:rFonts w:ascii="微软雅黑" w:hAnsi="微软雅黑" w:eastAsia="微软雅黑"/>
        </w:rPr>
        <w:t>9.1%</w:t>
      </w:r>
      <w:r>
        <w:rPr>
          <w:rFonts w:hint="eastAsia" w:ascii="微软雅黑" w:hAnsi="微软雅黑" w:eastAsia="微软雅黑"/>
        </w:rPr>
        <w:t>、8</w:t>
      </w:r>
      <w:r>
        <w:rPr>
          <w:rFonts w:ascii="微软雅黑" w:hAnsi="微软雅黑" w:eastAsia="微软雅黑"/>
        </w:rPr>
        <w:t>4.7%</w:t>
      </w:r>
      <w:r>
        <w:rPr>
          <w:rFonts w:hint="eastAsia" w:ascii="微软雅黑" w:hAnsi="微软雅黑" w:eastAsia="微软雅黑"/>
        </w:rPr>
        <w:t>，简历投递行为更是同比猛增1</w:t>
      </w:r>
      <w:r>
        <w:rPr>
          <w:rFonts w:ascii="微软雅黑" w:hAnsi="微软雅黑" w:eastAsia="微软雅黑"/>
        </w:rPr>
        <w:t>13.8%</w:t>
      </w:r>
      <w:r>
        <w:rPr>
          <w:rFonts w:hint="eastAsia" w:ascii="微软雅黑" w:hAnsi="微软雅黑" w:eastAsia="微软雅黑"/>
        </w:rPr>
        <w:t>、1</w:t>
      </w:r>
      <w:r>
        <w:rPr>
          <w:rFonts w:ascii="微软雅黑" w:hAnsi="微软雅黑" w:eastAsia="微软雅黑"/>
        </w:rPr>
        <w:t>41.1%</w:t>
      </w:r>
      <w:r>
        <w:rPr>
          <w:rFonts w:hint="eastAsia" w:ascii="微软雅黑" w:hAnsi="微软雅黑" w:eastAsia="微软雅黑"/>
        </w:rPr>
        <w:t>、2</w:t>
      </w:r>
      <w:r>
        <w:rPr>
          <w:rFonts w:ascii="微软雅黑" w:hAnsi="微软雅黑" w:eastAsia="微软雅黑"/>
        </w:rPr>
        <w:t>17.1%</w:t>
      </w:r>
      <w:r>
        <w:rPr>
          <w:rFonts w:hint="eastAsia" w:ascii="微软雅黑" w:hAnsi="微软雅黑" w:eastAsia="微软雅黑"/>
        </w:rPr>
        <w:t>和1</w:t>
      </w:r>
      <w:r>
        <w:rPr>
          <w:rFonts w:ascii="微软雅黑" w:hAnsi="微软雅黑" w:eastAsia="微软雅黑"/>
        </w:rPr>
        <w:t>35.4%</w:t>
      </w:r>
      <w:r>
        <w:rPr>
          <w:rFonts w:hint="eastAsia" w:ascii="微软雅黑" w:hAnsi="微软雅黑" w:eastAsia="微软雅黑"/>
        </w:rPr>
        <w:t>。由于今年疫情后生产制造、零售、服务行业迅速反弹，相应的人才需求也水涨船高，同时零工经济发展势头向好，求职者对以技能为驱动的灵活就业模式认可程度增加，简历投递行为也迎来小爆发。</w:t>
      </w:r>
    </w:p>
    <w:p>
      <w:pPr>
        <w:snapToGrid w:val="0"/>
        <w:ind w:right="210"/>
        <w:jc w:val="both"/>
        <w:rPr>
          <w:rFonts w:ascii="微软雅黑" w:hAnsi="微软雅黑" w:eastAsia="微软雅黑"/>
        </w:rPr>
      </w:pPr>
      <w:r>
        <w:drawing>
          <wp:inline distT="0" distB="0" distL="0" distR="0">
            <wp:extent cx="5270500" cy="502031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70500" cy="5020491"/>
                    </a:xfrm>
                    <a:prstGeom prst="rect">
                      <a:avLst/>
                    </a:prstGeom>
                    <a:noFill/>
                    <a:ln>
                      <a:noFill/>
                    </a:ln>
                  </pic:spPr>
                </pic:pic>
              </a:graphicData>
            </a:graphic>
          </wp:inline>
        </w:drawing>
      </w:r>
    </w:p>
    <w:p>
      <w:pPr>
        <w:snapToGrid w:val="0"/>
        <w:ind w:right="210"/>
        <w:jc w:val="both"/>
        <w:rPr>
          <w:rFonts w:ascii="微软雅黑" w:hAnsi="微软雅黑" w:eastAsia="微软雅黑"/>
        </w:rPr>
      </w:pPr>
    </w:p>
    <w:p>
      <w:pPr>
        <w:pStyle w:val="10"/>
        <w:numPr>
          <w:ilvl w:val="0"/>
          <w:numId w:val="2"/>
        </w:numPr>
        <w:snapToGrid w:val="0"/>
        <w:ind w:right="210" w:firstLineChars="0"/>
        <w:jc w:val="both"/>
        <w:outlineLvl w:val="0"/>
        <w:rPr>
          <w:rFonts w:ascii="微软雅黑" w:hAnsi="微软雅黑" w:eastAsia="微软雅黑"/>
          <w:b/>
          <w:bCs/>
          <w:sz w:val="24"/>
        </w:rPr>
      </w:pPr>
      <w:r>
        <w:rPr>
          <w:rFonts w:hint="eastAsia" w:ascii="微软雅黑" w:hAnsi="微软雅黑" w:eastAsia="微软雅黑"/>
          <w:b/>
          <w:bCs/>
          <w:sz w:val="24"/>
        </w:rPr>
        <w:t>全国平均薪酬环比小幅上涨，达到9</w:t>
      </w:r>
      <w:r>
        <w:rPr>
          <w:rFonts w:ascii="微软雅黑" w:hAnsi="微软雅黑" w:eastAsia="微软雅黑"/>
          <w:b/>
          <w:bCs/>
          <w:sz w:val="24"/>
        </w:rPr>
        <w:t>059</w:t>
      </w:r>
      <w:r>
        <w:rPr>
          <w:rFonts w:hint="eastAsia" w:ascii="微软雅黑" w:hAnsi="微软雅黑" w:eastAsia="微软雅黑"/>
          <w:b/>
          <w:bCs/>
          <w:sz w:val="24"/>
        </w:rPr>
        <w:t>元/月</w:t>
      </w:r>
    </w:p>
    <w:p>
      <w:pPr>
        <w:pStyle w:val="10"/>
        <w:snapToGrid w:val="0"/>
        <w:ind w:left="420" w:right="210" w:firstLine="0" w:firstLineChars="0"/>
        <w:jc w:val="both"/>
        <w:rPr>
          <w:rFonts w:ascii="微软雅黑" w:hAnsi="微软雅黑" w:eastAsia="微软雅黑"/>
          <w:b/>
          <w:bCs/>
        </w:rPr>
      </w:pPr>
    </w:p>
    <w:p>
      <w:pPr>
        <w:pStyle w:val="10"/>
        <w:numPr>
          <w:ilvl w:val="0"/>
          <w:numId w:val="4"/>
        </w:numPr>
        <w:snapToGrid w:val="0"/>
        <w:ind w:left="357" w:right="210" w:hanging="357" w:firstLineChars="0"/>
        <w:jc w:val="both"/>
        <w:outlineLvl w:val="1"/>
        <w:rPr>
          <w:rFonts w:ascii="微软雅黑" w:hAnsi="微软雅黑" w:eastAsia="微软雅黑"/>
          <w:b/>
          <w:bCs/>
        </w:rPr>
      </w:pPr>
      <w:r>
        <w:rPr>
          <w:rFonts w:hint="eastAsia" w:ascii="微软雅黑" w:hAnsi="微软雅黑" w:eastAsia="微软雅黑"/>
          <w:b/>
          <w:bCs/>
        </w:rPr>
        <w:t>全国平均招聘薪酬9</w:t>
      </w:r>
      <w:r>
        <w:rPr>
          <w:rFonts w:ascii="微软雅黑" w:hAnsi="微软雅黑" w:eastAsia="微软雅黑"/>
          <w:b/>
          <w:bCs/>
        </w:rPr>
        <w:t>059</w:t>
      </w:r>
      <w:r>
        <w:rPr>
          <w:rFonts w:hint="eastAsia" w:ascii="微软雅黑" w:hAnsi="微软雅黑" w:eastAsia="微软雅黑"/>
          <w:b/>
          <w:bCs/>
        </w:rPr>
        <w:t>元/月，环比上涨1</w:t>
      </w:r>
      <w:r>
        <w:rPr>
          <w:rFonts w:ascii="微软雅黑" w:hAnsi="微软雅黑" w:eastAsia="微软雅黑"/>
          <w:b/>
          <w:bCs/>
        </w:rPr>
        <w:t>.5%</w:t>
      </w:r>
    </w:p>
    <w:p>
      <w:pPr>
        <w:snapToGrid w:val="0"/>
        <w:ind w:firstLine="360"/>
        <w:jc w:val="both"/>
        <w:rPr>
          <w:rFonts w:ascii="微软雅黑" w:hAnsi="微软雅黑" w:eastAsia="微软雅黑"/>
        </w:rPr>
      </w:pPr>
      <w:r>
        <w:rPr>
          <w:rFonts w:hint="eastAsia" w:ascii="微软雅黑" w:hAnsi="微软雅黑" w:eastAsia="微软雅黑"/>
        </w:rPr>
        <w:t>智联招聘2</w:t>
      </w:r>
      <w:r>
        <w:rPr>
          <w:rFonts w:ascii="微软雅黑" w:hAnsi="微软雅黑" w:eastAsia="微软雅黑"/>
        </w:rPr>
        <w:t>021</w:t>
      </w:r>
      <w:r>
        <w:rPr>
          <w:rFonts w:hint="eastAsia" w:ascii="微软雅黑" w:hAnsi="微软雅黑" w:eastAsia="微软雅黑"/>
        </w:rPr>
        <w:t>年春季在线数据显示，全国3</w:t>
      </w:r>
      <w:r>
        <w:rPr>
          <w:rFonts w:ascii="微软雅黑" w:hAnsi="微软雅黑" w:eastAsia="微软雅黑"/>
        </w:rPr>
        <w:t>8</w:t>
      </w:r>
      <w:r>
        <w:rPr>
          <w:rFonts w:hint="eastAsia" w:ascii="微软雅黑" w:hAnsi="微软雅黑" w:eastAsia="微软雅黑"/>
        </w:rPr>
        <w:t>个核心城市的平均招聘薪酬为9</w:t>
      </w:r>
      <w:r>
        <w:rPr>
          <w:rFonts w:ascii="微软雅黑" w:hAnsi="微软雅黑" w:eastAsia="微软雅黑"/>
        </w:rPr>
        <w:t>059</w:t>
      </w:r>
      <w:r>
        <w:rPr>
          <w:rFonts w:hint="eastAsia" w:ascii="微软雅黑" w:hAnsi="微软雅黑" w:eastAsia="微软雅黑"/>
        </w:rPr>
        <w:t>元/月，本季度平均薪酬绝对值环比上涨1</w:t>
      </w:r>
      <w:r>
        <w:rPr>
          <w:rFonts w:ascii="微软雅黑" w:hAnsi="微软雅黑" w:eastAsia="微软雅黑"/>
        </w:rPr>
        <w:t>.5%</w:t>
      </w:r>
      <w:r>
        <w:rPr>
          <w:rFonts w:hint="eastAsia" w:ascii="微软雅黑" w:hAnsi="微软雅黑" w:eastAsia="微软雅黑"/>
        </w:rPr>
        <w:t>，再达新高，且较去年同期高2</w:t>
      </w:r>
      <w:r>
        <w:rPr>
          <w:rFonts w:ascii="微软雅黑" w:hAnsi="微软雅黑" w:eastAsia="微软雅黑"/>
        </w:rPr>
        <w:t>.7%</w:t>
      </w:r>
      <w:r>
        <w:rPr>
          <w:rFonts w:hint="eastAsia" w:ascii="微软雅黑" w:hAnsi="微软雅黑" w:eastAsia="微软雅黑"/>
        </w:rPr>
        <w:t>。</w:t>
      </w:r>
    </w:p>
    <w:p>
      <w:pPr>
        <w:snapToGrid w:val="0"/>
        <w:ind w:right="210"/>
        <w:jc w:val="both"/>
        <w:rPr>
          <w:rFonts w:ascii="微软雅黑" w:hAnsi="微软雅黑" w:eastAsia="微软雅黑"/>
        </w:rPr>
      </w:pPr>
      <w:r>
        <w:drawing>
          <wp:inline distT="0" distB="0" distL="0" distR="0">
            <wp:extent cx="5270500" cy="3348990"/>
            <wp:effectExtent l="0" t="0" r="0" b="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napToGrid w:val="0"/>
        <w:ind w:right="210"/>
        <w:jc w:val="both"/>
        <w:outlineLvl w:val="1"/>
        <w:rPr>
          <w:rFonts w:ascii="微软雅黑" w:hAnsi="微软雅黑" w:eastAsia="微软雅黑"/>
        </w:rPr>
      </w:pPr>
    </w:p>
    <w:p>
      <w:pPr>
        <w:snapToGrid w:val="0"/>
        <w:ind w:firstLine="420"/>
        <w:jc w:val="both"/>
        <w:outlineLvl w:val="1"/>
        <w:rPr>
          <w:rFonts w:ascii="微软雅黑" w:hAnsi="微软雅黑" w:eastAsia="微软雅黑"/>
        </w:rPr>
      </w:pPr>
      <w:r>
        <w:rPr>
          <w:rFonts w:ascii="微软雅黑" w:hAnsi="微软雅黑" w:eastAsia="微软雅黑"/>
        </w:rPr>
        <w:t>从职位的薪酬分布情况来看，</w:t>
      </w:r>
      <w:r>
        <w:rPr>
          <w:rFonts w:hint="eastAsia" w:ascii="微软雅黑" w:hAnsi="微软雅黑" w:eastAsia="微软雅黑"/>
        </w:rPr>
        <w:t>高薪人群占比有所增加，</w:t>
      </w:r>
      <w:r>
        <w:rPr>
          <w:rFonts w:ascii="微软雅黑" w:hAnsi="微软雅黑" w:eastAsia="微软雅黑"/>
        </w:rPr>
        <w:t>8000元/月以上的薪酬区间占比保持第一位</w:t>
      </w:r>
      <w:r>
        <w:rPr>
          <w:rFonts w:hint="eastAsia" w:ascii="微软雅黑" w:hAnsi="微软雅黑" w:eastAsia="微软雅黑"/>
        </w:rPr>
        <w:t>，占职位总量4</w:t>
      </w:r>
      <w:r>
        <w:rPr>
          <w:rFonts w:ascii="微软雅黑" w:hAnsi="微软雅黑" w:eastAsia="微软雅黑"/>
        </w:rPr>
        <w:t>3.5%</w:t>
      </w:r>
      <w:r>
        <w:rPr>
          <w:rFonts w:hint="eastAsia" w:ascii="微软雅黑" w:hAnsi="微软雅黑" w:eastAsia="微软雅黑"/>
        </w:rPr>
        <w:t>，且环比扩张3个百分点、同比扩张4.</w:t>
      </w:r>
      <w:r>
        <w:rPr>
          <w:rFonts w:ascii="微软雅黑" w:hAnsi="微软雅黑" w:eastAsia="微软雅黑"/>
        </w:rPr>
        <w:t>8</w:t>
      </w:r>
      <w:r>
        <w:rPr>
          <w:rFonts w:hint="eastAsia" w:ascii="微软雅黑" w:hAnsi="微软雅黑" w:eastAsia="微软雅黑"/>
        </w:rPr>
        <w:t>个百分点。排在其后的是平均月薪在4</w:t>
      </w:r>
      <w:r>
        <w:rPr>
          <w:rFonts w:ascii="微软雅黑" w:hAnsi="微软雅黑" w:eastAsia="微软雅黑"/>
        </w:rPr>
        <w:t>001-6000</w:t>
      </w:r>
      <w:r>
        <w:rPr>
          <w:rFonts w:hint="eastAsia" w:ascii="微软雅黑" w:hAnsi="微软雅黑" w:eastAsia="微软雅黑"/>
        </w:rPr>
        <w:t>元之间的职位，占总量的2</w:t>
      </w:r>
      <w:r>
        <w:rPr>
          <w:rFonts w:ascii="微软雅黑" w:hAnsi="微软雅黑" w:eastAsia="微软雅黑"/>
        </w:rPr>
        <w:t>6%</w:t>
      </w:r>
      <w:r>
        <w:rPr>
          <w:rFonts w:hint="eastAsia" w:ascii="微软雅黑" w:hAnsi="微软雅黑" w:eastAsia="微软雅黑"/>
        </w:rPr>
        <w:t>，平均月薪在6</w:t>
      </w:r>
      <w:r>
        <w:rPr>
          <w:rFonts w:ascii="微软雅黑" w:hAnsi="微软雅黑" w:eastAsia="微软雅黑"/>
        </w:rPr>
        <w:t>001-8000</w:t>
      </w:r>
      <w:r>
        <w:rPr>
          <w:rFonts w:hint="eastAsia" w:ascii="微软雅黑" w:hAnsi="微软雅黑" w:eastAsia="微软雅黑"/>
        </w:rPr>
        <w:t>元的职位数量占2</w:t>
      </w:r>
      <w:r>
        <w:rPr>
          <w:rFonts w:ascii="微软雅黑" w:hAnsi="微软雅黑" w:eastAsia="微软雅黑"/>
        </w:rPr>
        <w:t>3.2%</w:t>
      </w:r>
      <w:r>
        <w:rPr>
          <w:rFonts w:hint="eastAsia" w:ascii="微软雅黑" w:hAnsi="微软雅黑" w:eastAsia="微软雅黑"/>
        </w:rPr>
        <w:t>。</w:t>
      </w:r>
    </w:p>
    <w:p>
      <w:pPr>
        <w:snapToGrid w:val="0"/>
        <w:ind w:right="210"/>
        <w:jc w:val="both"/>
        <w:outlineLvl w:val="1"/>
        <w:rPr>
          <w:rFonts w:ascii="微软雅黑" w:hAnsi="微软雅黑" w:eastAsia="微软雅黑"/>
        </w:rPr>
      </w:pPr>
      <w:r>
        <w:drawing>
          <wp:inline distT="0" distB="0" distL="0" distR="0">
            <wp:extent cx="5270500" cy="3733800"/>
            <wp:effectExtent l="0" t="0" r="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napToGrid w:val="0"/>
        <w:ind w:right="210"/>
        <w:jc w:val="both"/>
        <w:outlineLvl w:val="1"/>
        <w:rPr>
          <w:rFonts w:ascii="微软雅黑" w:hAnsi="微软雅黑" w:eastAsia="微软雅黑"/>
        </w:rPr>
      </w:pPr>
    </w:p>
    <w:p>
      <w:pPr>
        <w:pStyle w:val="10"/>
        <w:numPr>
          <w:ilvl w:val="0"/>
          <w:numId w:val="4"/>
        </w:numPr>
        <w:snapToGrid w:val="0"/>
        <w:ind w:right="210" w:firstLineChars="0"/>
        <w:jc w:val="both"/>
        <w:outlineLvl w:val="1"/>
        <w:rPr>
          <w:rFonts w:ascii="微软雅黑" w:hAnsi="微软雅黑" w:eastAsia="微软雅黑"/>
          <w:b/>
          <w:bCs/>
        </w:rPr>
      </w:pPr>
      <w:bookmarkStart w:id="1" w:name="OLE_LINK2"/>
      <w:r>
        <w:rPr>
          <w:rFonts w:hint="eastAsia" w:ascii="微软雅黑" w:hAnsi="微软雅黑" w:eastAsia="微软雅黑"/>
          <w:b/>
          <w:bCs/>
        </w:rPr>
        <w:t>新一线城市招聘薪酬涨幅突出，东莞环比同比增速均最高</w:t>
      </w:r>
    </w:p>
    <w:bookmarkEnd w:id="1"/>
    <w:p>
      <w:pPr>
        <w:snapToGrid w:val="0"/>
        <w:ind w:firstLine="360"/>
        <w:jc w:val="both"/>
        <w:rPr>
          <w:rFonts w:ascii="微软雅黑" w:hAnsi="微软雅黑" w:eastAsia="微软雅黑"/>
        </w:rPr>
      </w:pPr>
      <w:r>
        <w:rPr>
          <w:rFonts w:hint="eastAsia" w:ascii="微软雅黑" w:hAnsi="微软雅黑" w:eastAsia="微软雅黑"/>
        </w:rPr>
        <w:t>本季度全国3</w:t>
      </w:r>
      <w:r>
        <w:rPr>
          <w:rFonts w:ascii="微软雅黑" w:hAnsi="微软雅黑" w:eastAsia="微软雅黑"/>
        </w:rPr>
        <w:t>8</w:t>
      </w:r>
      <w:r>
        <w:rPr>
          <w:rFonts w:hint="eastAsia" w:ascii="微软雅黑" w:hAnsi="微软雅黑" w:eastAsia="微软雅黑"/>
        </w:rPr>
        <w:t>个核心城市中薪酬最高的依然为北京（1</w:t>
      </w:r>
      <w:r>
        <w:rPr>
          <w:rFonts w:ascii="微软雅黑" w:hAnsi="微软雅黑" w:eastAsia="微软雅黑"/>
        </w:rPr>
        <w:t>2067</w:t>
      </w:r>
      <w:r>
        <w:rPr>
          <w:rFonts w:hint="eastAsia" w:ascii="微软雅黑" w:hAnsi="微软雅黑" w:eastAsia="微软雅黑"/>
        </w:rPr>
        <w:t>元/月）、上海（1</w:t>
      </w:r>
      <w:r>
        <w:rPr>
          <w:rFonts w:ascii="微软雅黑" w:hAnsi="微软雅黑" w:eastAsia="微软雅黑"/>
        </w:rPr>
        <w:t>1699</w:t>
      </w:r>
      <w:r>
        <w:rPr>
          <w:rFonts w:hint="eastAsia" w:ascii="微软雅黑" w:hAnsi="微软雅黑" w:eastAsia="微软雅黑"/>
        </w:rPr>
        <w:t>元/月）、深圳（1</w:t>
      </w:r>
      <w:r>
        <w:rPr>
          <w:rFonts w:ascii="微软雅黑" w:hAnsi="微软雅黑" w:eastAsia="微软雅黑"/>
        </w:rPr>
        <w:t>0983</w:t>
      </w:r>
      <w:r>
        <w:rPr>
          <w:rFonts w:hint="eastAsia" w:ascii="微软雅黑" w:hAnsi="微软雅黑" w:eastAsia="微软雅黑"/>
        </w:rPr>
        <w:t>元/月）、杭州（1</w:t>
      </w:r>
      <w:r>
        <w:rPr>
          <w:rFonts w:ascii="微软雅黑" w:hAnsi="微软雅黑" w:eastAsia="微软雅黑"/>
        </w:rPr>
        <w:t>0176</w:t>
      </w:r>
      <w:r>
        <w:rPr>
          <w:rFonts w:hint="eastAsia" w:ascii="微软雅黑" w:hAnsi="微软雅黑" w:eastAsia="微软雅黑"/>
        </w:rPr>
        <w:t>元/月），且同比与环比都呈现上升趋势，人才吸引力继续领先。</w:t>
      </w:r>
    </w:p>
    <w:p>
      <w:pPr>
        <w:snapToGrid w:val="0"/>
        <w:ind w:firstLine="360"/>
        <w:jc w:val="both"/>
        <w:rPr>
          <w:rFonts w:ascii="微软雅黑" w:hAnsi="微软雅黑" w:eastAsia="微软雅黑"/>
        </w:rPr>
      </w:pPr>
      <w:r>
        <w:rPr>
          <w:rFonts w:hint="eastAsia" w:ascii="微软雅黑" w:hAnsi="微软雅黑" w:eastAsia="微软雅黑"/>
        </w:rPr>
        <w:t>此外，在整体月薪水平再上新台阶的情况下，本季度除6个城市的平均招聘薪酬出现环比下降以外，其他城市的薪酬均有所上升。其中，东莞在本季度的薪酬水平环比与同比增幅都为最大，分别达到3</w:t>
      </w:r>
      <w:r>
        <w:rPr>
          <w:rFonts w:ascii="微软雅黑" w:hAnsi="微软雅黑" w:eastAsia="微软雅黑"/>
        </w:rPr>
        <w:t>.9%</w:t>
      </w:r>
      <w:r>
        <w:rPr>
          <w:rFonts w:hint="eastAsia" w:ascii="微软雅黑" w:hAnsi="微软雅黑" w:eastAsia="微软雅黑"/>
        </w:rPr>
        <w:t>、7</w:t>
      </w:r>
      <w:r>
        <w:rPr>
          <w:rFonts w:ascii="微软雅黑" w:hAnsi="微软雅黑" w:eastAsia="微软雅黑"/>
        </w:rPr>
        <w:t>.7%</w:t>
      </w:r>
      <w:r>
        <w:rPr>
          <w:rFonts w:hint="eastAsia" w:ascii="微软雅黑" w:hAnsi="微软雅黑" w:eastAsia="微软雅黑"/>
        </w:rPr>
        <w:t>，排名也较2</w:t>
      </w:r>
      <w:r>
        <w:rPr>
          <w:rFonts w:ascii="微软雅黑" w:hAnsi="微软雅黑" w:eastAsia="微软雅黑"/>
        </w:rPr>
        <w:t>020</w:t>
      </w:r>
      <w:r>
        <w:rPr>
          <w:rFonts w:hint="eastAsia" w:ascii="微软雅黑" w:hAnsi="微软雅黑" w:eastAsia="微软雅黑"/>
        </w:rPr>
        <w:t>年冬季上升一个位次来到第8名。而佛山（3.3%）、南京（3.1%）、重庆（2.9%）、苏州（2.8%）等新一线城市的招聘薪酬环比增速也较为突出，可见新一线城市在经济发展、商业环境上具备高成长性，薪酬水平也随人才需求扩张而不断攀升。</w:t>
      </w:r>
    </w:p>
    <w:p>
      <w:pPr>
        <w:snapToGrid w:val="0"/>
        <w:ind w:right="210" w:firstLine="360"/>
        <w:jc w:val="both"/>
        <w:rPr>
          <w:rFonts w:ascii="微软雅黑" w:hAnsi="微软雅黑" w:eastAsia="微软雅黑"/>
        </w:rPr>
      </w:pPr>
    </w:p>
    <w:p>
      <w:pPr>
        <w:snapToGrid w:val="0"/>
        <w:ind w:right="210"/>
        <w:jc w:val="both"/>
        <w:rPr>
          <w:rFonts w:ascii="微软雅黑" w:hAnsi="微软雅黑" w:eastAsia="微软雅黑"/>
        </w:rPr>
      </w:pPr>
      <w:r>
        <w:drawing>
          <wp:inline distT="0" distB="0" distL="0" distR="0">
            <wp:extent cx="5270500" cy="4568190"/>
            <wp:effectExtent l="0" t="0" r="0" b="381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270500" cy="4568697"/>
                    </a:xfrm>
                    <a:prstGeom prst="rect">
                      <a:avLst/>
                    </a:prstGeom>
                    <a:noFill/>
                    <a:ln>
                      <a:noFill/>
                    </a:ln>
                  </pic:spPr>
                </pic:pic>
              </a:graphicData>
            </a:graphic>
          </wp:inline>
        </w:drawing>
      </w:r>
    </w:p>
    <w:p>
      <w:pPr>
        <w:snapToGrid w:val="0"/>
        <w:ind w:right="210"/>
        <w:jc w:val="both"/>
        <w:rPr>
          <w:rFonts w:ascii="微软雅黑" w:hAnsi="微软雅黑" w:eastAsia="微软雅黑"/>
        </w:rPr>
      </w:pPr>
    </w:p>
    <w:p>
      <w:pPr>
        <w:pStyle w:val="10"/>
        <w:numPr>
          <w:ilvl w:val="0"/>
          <w:numId w:val="4"/>
        </w:numPr>
        <w:snapToGrid w:val="0"/>
        <w:ind w:left="357" w:right="210" w:hanging="357" w:firstLineChars="0"/>
        <w:jc w:val="both"/>
        <w:outlineLvl w:val="1"/>
        <w:rPr>
          <w:rFonts w:ascii="微软雅黑" w:hAnsi="微软雅黑" w:eastAsia="微软雅黑"/>
          <w:b/>
          <w:bCs/>
        </w:rPr>
      </w:pPr>
      <w:r>
        <w:rPr>
          <w:rFonts w:hint="eastAsia" w:ascii="微软雅黑" w:hAnsi="微软雅黑" w:eastAsia="微软雅黑"/>
          <w:b/>
          <w:bCs/>
        </w:rPr>
        <w:t>上市公司薪酬水平保持第一，国企涨薪幅度最大</w:t>
      </w:r>
    </w:p>
    <w:p>
      <w:pPr>
        <w:snapToGrid w:val="0"/>
        <w:ind w:firstLine="360"/>
        <w:jc w:val="both"/>
        <w:rPr>
          <w:rFonts w:ascii="微软雅黑" w:hAnsi="微软雅黑" w:eastAsia="微软雅黑"/>
        </w:rPr>
      </w:pPr>
      <w:r>
        <w:rPr>
          <w:rFonts w:hint="eastAsia" w:ascii="微软雅黑" w:hAnsi="微软雅黑" w:eastAsia="微软雅黑"/>
        </w:rPr>
        <w:t>本季度上市公司的平均薪酬水平仍排在首位，达1</w:t>
      </w:r>
      <w:r>
        <w:rPr>
          <w:rFonts w:ascii="微软雅黑" w:hAnsi="微软雅黑" w:eastAsia="微软雅黑"/>
        </w:rPr>
        <w:t>0218</w:t>
      </w:r>
      <w:r>
        <w:rPr>
          <w:rFonts w:hint="eastAsia" w:ascii="微软雅黑" w:hAnsi="微软雅黑" w:eastAsia="微软雅黑"/>
        </w:rPr>
        <w:t>元/月，且呈现0</w:t>
      </w:r>
      <w:r>
        <w:rPr>
          <w:rFonts w:ascii="微软雅黑" w:hAnsi="微软雅黑" w:eastAsia="微软雅黑"/>
        </w:rPr>
        <w:t>.8%</w:t>
      </w:r>
      <w:r>
        <w:rPr>
          <w:rFonts w:hint="eastAsia" w:ascii="微软雅黑" w:hAnsi="微软雅黑" w:eastAsia="微软雅黑"/>
        </w:rPr>
        <w:t>的环比增长；高于全国平均薪酬的还有国企（9</w:t>
      </w:r>
      <w:r>
        <w:rPr>
          <w:rFonts w:ascii="微软雅黑" w:hAnsi="微软雅黑" w:eastAsia="微软雅黑"/>
        </w:rPr>
        <w:t>902</w:t>
      </w:r>
      <w:r>
        <w:rPr>
          <w:rFonts w:hint="eastAsia" w:ascii="微软雅黑" w:hAnsi="微软雅黑" w:eastAsia="微软雅黑"/>
        </w:rPr>
        <w:t>元/月）、外商独资企业（9</w:t>
      </w:r>
      <w:r>
        <w:rPr>
          <w:rFonts w:ascii="微软雅黑" w:hAnsi="微软雅黑" w:eastAsia="微软雅黑"/>
        </w:rPr>
        <w:t>875</w:t>
      </w:r>
      <w:r>
        <w:rPr>
          <w:rFonts w:hint="eastAsia" w:ascii="微软雅黑" w:hAnsi="微软雅黑" w:eastAsia="微软雅黑"/>
        </w:rPr>
        <w:t>元/月）与合资企业（9</w:t>
      </w:r>
      <w:r>
        <w:rPr>
          <w:rFonts w:ascii="微软雅黑" w:hAnsi="微软雅黑" w:eastAsia="微软雅黑"/>
        </w:rPr>
        <w:t>662</w:t>
      </w:r>
      <w:r>
        <w:rPr>
          <w:rFonts w:hint="eastAsia" w:ascii="微软雅黑" w:hAnsi="微软雅黑" w:eastAsia="微软雅黑"/>
        </w:rPr>
        <w:t>元/月）。国企平均薪酬增速最高，环比与同比分别增长4</w:t>
      </w:r>
      <w:r>
        <w:rPr>
          <w:rFonts w:ascii="微软雅黑" w:hAnsi="微软雅黑" w:eastAsia="微软雅黑"/>
        </w:rPr>
        <w:t>.7%</w:t>
      </w:r>
      <w:r>
        <w:rPr>
          <w:rFonts w:hint="eastAsia" w:ascii="微软雅黑" w:hAnsi="微软雅黑" w:eastAsia="微软雅黑"/>
        </w:rPr>
        <w:t>、4</w:t>
      </w:r>
      <w:r>
        <w:rPr>
          <w:rFonts w:ascii="微软雅黑" w:hAnsi="微软雅黑" w:eastAsia="微软雅黑"/>
        </w:rPr>
        <w:t>.8%</w:t>
      </w:r>
      <w:r>
        <w:rPr>
          <w:rFonts w:hint="eastAsia" w:ascii="微软雅黑" w:hAnsi="微软雅黑" w:eastAsia="微软雅黑"/>
        </w:rPr>
        <w:t>，高于其他性质企业。为</w:t>
      </w:r>
      <w:r>
        <w:rPr>
          <w:rFonts w:ascii="微软雅黑" w:hAnsi="微软雅黑" w:eastAsia="微软雅黑"/>
        </w:rPr>
        <w:t>建立健全</w:t>
      </w:r>
      <w:r>
        <w:rPr>
          <w:rFonts w:hint="eastAsia" w:ascii="微软雅黑" w:hAnsi="微软雅黑" w:eastAsia="微软雅黑"/>
        </w:rPr>
        <w:t>的</w:t>
      </w:r>
      <w:r>
        <w:rPr>
          <w:rFonts w:ascii="微软雅黑" w:hAnsi="微软雅黑" w:eastAsia="微软雅黑"/>
        </w:rPr>
        <w:t>内部激励</w:t>
      </w:r>
      <w:r>
        <w:rPr>
          <w:rFonts w:hint="eastAsia" w:ascii="微软雅黑" w:hAnsi="微软雅黑" w:eastAsia="微软雅黑"/>
        </w:rPr>
        <w:t>机制，国企不断完善与改革薪酬福利制度，并在</w:t>
      </w:r>
      <w:r>
        <w:rPr>
          <w:rFonts w:ascii="微软雅黑" w:hAnsi="微软雅黑" w:eastAsia="微软雅黑"/>
        </w:rPr>
        <w:t>2021</w:t>
      </w:r>
      <w:r>
        <w:rPr>
          <w:rFonts w:hint="eastAsia" w:ascii="微软雅黑" w:hAnsi="微软雅黑" w:eastAsia="微软雅黑"/>
        </w:rPr>
        <w:t>年招聘旺季期间进行薪酬加码，这也成为疫情以来“国企热”接连攀升的重要原因。</w:t>
      </w:r>
    </w:p>
    <w:p>
      <w:pPr>
        <w:snapToGrid w:val="0"/>
        <w:ind w:right="210"/>
        <w:jc w:val="both"/>
        <w:rPr>
          <w:rFonts w:ascii="微软雅黑" w:hAnsi="微软雅黑" w:eastAsia="微软雅黑"/>
        </w:rPr>
      </w:pPr>
      <w:r>
        <w:drawing>
          <wp:inline distT="0" distB="0" distL="0" distR="0">
            <wp:extent cx="5270500" cy="3824605"/>
            <wp:effectExtent l="0" t="0" r="0"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napToGrid w:val="0"/>
        <w:ind w:right="210"/>
        <w:jc w:val="both"/>
        <w:rPr>
          <w:rFonts w:ascii="微软雅黑" w:hAnsi="微软雅黑" w:eastAsia="微软雅黑"/>
        </w:rPr>
      </w:pPr>
    </w:p>
    <w:p>
      <w:pPr>
        <w:pStyle w:val="10"/>
        <w:numPr>
          <w:ilvl w:val="0"/>
          <w:numId w:val="4"/>
        </w:numPr>
        <w:snapToGrid w:val="0"/>
        <w:ind w:left="357" w:right="210" w:hanging="357" w:firstLineChars="0"/>
        <w:jc w:val="both"/>
        <w:outlineLvl w:val="1"/>
        <w:rPr>
          <w:rFonts w:ascii="微软雅黑" w:hAnsi="微软雅黑" w:eastAsia="微软雅黑"/>
          <w:b/>
          <w:bCs/>
        </w:rPr>
      </w:pPr>
      <w:r>
        <w:rPr>
          <w:rFonts w:ascii="微软雅黑" w:hAnsi="微软雅黑" w:eastAsia="微软雅黑"/>
          <w:b/>
          <w:bCs/>
        </w:rPr>
        <w:tab/>
      </w:r>
      <w:r>
        <w:rPr>
          <w:rFonts w:ascii="微软雅黑" w:hAnsi="微软雅黑" w:eastAsia="微软雅黑"/>
          <w:b/>
          <w:bCs/>
        </w:rPr>
        <w:t>万人大企招聘薪酬水平</w:t>
      </w:r>
      <w:r>
        <w:rPr>
          <w:rFonts w:hint="eastAsia" w:ascii="微软雅黑" w:hAnsi="微软雅黑" w:eastAsia="微软雅黑"/>
          <w:b/>
          <w:bCs/>
        </w:rPr>
        <w:t>（10608元/月）</w:t>
      </w:r>
      <w:r>
        <w:rPr>
          <w:rFonts w:ascii="微软雅黑" w:hAnsi="微软雅黑" w:eastAsia="微软雅黑"/>
          <w:b/>
          <w:bCs/>
        </w:rPr>
        <w:t>及增幅均最高</w:t>
      </w:r>
    </w:p>
    <w:p>
      <w:pPr>
        <w:snapToGrid w:val="0"/>
        <w:ind w:firstLine="420"/>
        <w:jc w:val="both"/>
        <w:rPr>
          <w:rFonts w:ascii="微软雅黑" w:hAnsi="微软雅黑" w:eastAsia="微软雅黑"/>
        </w:rPr>
      </w:pPr>
      <w:r>
        <w:rPr>
          <w:rFonts w:hint="eastAsia" w:ascii="微软雅黑" w:hAnsi="微软雅黑" w:eastAsia="微软雅黑"/>
        </w:rPr>
        <w:t>从不同规模的企业平均薪酬水平来看，平均薪酬与企业规模基本为正向相关趋势，即企业规模越大，薪酬水平越高。特别是对于规模在1</w:t>
      </w:r>
      <w:r>
        <w:rPr>
          <w:rFonts w:ascii="微软雅黑" w:hAnsi="微软雅黑" w:eastAsia="微软雅黑"/>
        </w:rPr>
        <w:t>000-9999</w:t>
      </w:r>
      <w:r>
        <w:rPr>
          <w:rFonts w:hint="eastAsia" w:ascii="微软雅黑" w:hAnsi="微软雅黑" w:eastAsia="微软雅黑"/>
        </w:rPr>
        <w:t>人和超万人的企业，平均薪酬分别为1</w:t>
      </w:r>
      <w:r>
        <w:rPr>
          <w:rFonts w:ascii="微软雅黑" w:hAnsi="微软雅黑" w:eastAsia="微软雅黑"/>
        </w:rPr>
        <w:t>0249</w:t>
      </w:r>
      <w:r>
        <w:rPr>
          <w:rFonts w:hint="eastAsia" w:ascii="微软雅黑" w:hAnsi="微软雅黑" w:eastAsia="微软雅黑"/>
        </w:rPr>
        <w:t>元/月、1</w:t>
      </w:r>
      <w:r>
        <w:rPr>
          <w:rFonts w:ascii="微软雅黑" w:hAnsi="微软雅黑" w:eastAsia="微软雅黑"/>
        </w:rPr>
        <w:t>0608</w:t>
      </w:r>
      <w:r>
        <w:rPr>
          <w:rFonts w:hint="eastAsia" w:ascii="微软雅黑" w:hAnsi="微软雅黑" w:eastAsia="微软雅黑"/>
        </w:rPr>
        <w:t>元/月，而环比增幅也达到2</w:t>
      </w:r>
      <w:r>
        <w:rPr>
          <w:rFonts w:ascii="微软雅黑" w:hAnsi="微软雅黑" w:eastAsia="微软雅黑"/>
        </w:rPr>
        <w:t>.7%</w:t>
      </w:r>
      <w:r>
        <w:rPr>
          <w:rFonts w:hint="eastAsia" w:ascii="微软雅黑" w:hAnsi="微软雅黑" w:eastAsia="微软雅黑"/>
        </w:rPr>
        <w:t>和2</w:t>
      </w:r>
      <w:r>
        <w:rPr>
          <w:rFonts w:ascii="微软雅黑" w:hAnsi="微软雅黑" w:eastAsia="微软雅黑"/>
        </w:rPr>
        <w:t>.9%</w:t>
      </w:r>
      <w:r>
        <w:rPr>
          <w:rFonts w:hint="eastAsia" w:ascii="微软雅黑" w:hAnsi="微软雅黑" w:eastAsia="微软雅黑"/>
        </w:rPr>
        <w:t>，领先其他规模企业。由于大型与超大型企业抗风险能力更强，不光人才招聘需求大，在人力资源投入上也更为慷慨。</w:t>
      </w:r>
    </w:p>
    <w:p>
      <w:pPr>
        <w:snapToGrid w:val="0"/>
        <w:ind w:right="210"/>
        <w:jc w:val="both"/>
        <w:rPr>
          <w:rFonts w:ascii="微软雅黑" w:hAnsi="微软雅黑" w:eastAsia="微软雅黑"/>
        </w:rPr>
      </w:pPr>
      <w:r>
        <w:drawing>
          <wp:inline distT="0" distB="0" distL="0" distR="0">
            <wp:extent cx="5270500" cy="3897630"/>
            <wp:effectExtent l="0" t="0" r="0" b="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napToGrid w:val="0"/>
        <w:ind w:right="210"/>
        <w:jc w:val="both"/>
        <w:rPr>
          <w:rFonts w:ascii="微软雅黑" w:hAnsi="微软雅黑" w:eastAsia="微软雅黑"/>
        </w:rPr>
      </w:pPr>
    </w:p>
    <w:p>
      <w:pPr>
        <w:pStyle w:val="10"/>
        <w:numPr>
          <w:ilvl w:val="0"/>
          <w:numId w:val="4"/>
        </w:numPr>
        <w:snapToGrid w:val="0"/>
        <w:ind w:left="357" w:right="210" w:hanging="357" w:firstLineChars="0"/>
        <w:jc w:val="both"/>
        <w:outlineLvl w:val="1"/>
        <w:rPr>
          <w:rFonts w:ascii="微软雅黑" w:hAnsi="微软雅黑" w:eastAsia="微软雅黑"/>
          <w:b/>
          <w:bCs/>
        </w:rPr>
      </w:pPr>
      <w:r>
        <w:rPr>
          <w:rFonts w:hint="eastAsia" w:ascii="微软雅黑" w:hAnsi="微软雅黑" w:eastAsia="微软雅黑"/>
          <w:b/>
          <w:bCs/>
        </w:rPr>
        <w:t>银行业招聘薪酬10219元/月，环比提高5.6%升至第6位</w:t>
      </w:r>
    </w:p>
    <w:p>
      <w:pPr>
        <w:snapToGrid w:val="0"/>
        <w:ind w:firstLine="360"/>
        <w:jc w:val="both"/>
        <w:rPr>
          <w:rFonts w:ascii="微软雅黑" w:hAnsi="微软雅黑" w:eastAsia="微软雅黑"/>
        </w:rPr>
      </w:pPr>
      <w:r>
        <w:rPr>
          <w:rFonts w:hint="eastAsia" w:ascii="微软雅黑" w:hAnsi="微软雅黑" w:eastAsia="微软雅黑"/>
        </w:rPr>
        <w:t>行业方面，排名第一和第二的基金/证券/期货/投资（1</w:t>
      </w:r>
      <w:r>
        <w:rPr>
          <w:rFonts w:ascii="微软雅黑" w:hAnsi="微软雅黑" w:eastAsia="微软雅黑"/>
        </w:rPr>
        <w:t>1855</w:t>
      </w:r>
      <w:r>
        <w:rPr>
          <w:rFonts w:hint="eastAsia" w:ascii="微软雅黑" w:hAnsi="微软雅黑" w:eastAsia="微软雅黑"/>
        </w:rPr>
        <w:t>元/月）、信托/担保/拍卖/典当（1</w:t>
      </w:r>
      <w:r>
        <w:rPr>
          <w:rFonts w:ascii="微软雅黑" w:hAnsi="微软雅黑" w:eastAsia="微软雅黑"/>
        </w:rPr>
        <w:t>1780</w:t>
      </w:r>
      <w:r>
        <w:rPr>
          <w:rFonts w:hint="eastAsia" w:ascii="微软雅黑" w:hAnsi="微软雅黑" w:eastAsia="微软雅黑"/>
        </w:rPr>
        <w:t>元/月）招聘薪酬均环比有所下降。网络游戏、跨领域经营和计算机软件行业与上一季度排名相差不大，而银行业则环比上升8个名次后来到本季度第六位，具体薪酬环比增长5</w:t>
      </w:r>
      <w:r>
        <w:rPr>
          <w:rFonts w:ascii="微软雅黑" w:hAnsi="微软雅黑" w:eastAsia="微软雅黑"/>
        </w:rPr>
        <w:t>.6%</w:t>
      </w:r>
      <w:r>
        <w:rPr>
          <w:rFonts w:hint="eastAsia" w:ascii="微软雅黑" w:hAnsi="微软雅黑" w:eastAsia="微软雅黑"/>
        </w:rPr>
        <w:t>，在金融业细分领域中增长最快。本季度，通信/电信运营、增值服务也以6</w:t>
      </w:r>
      <w:r>
        <w:rPr>
          <w:rFonts w:ascii="微软雅黑" w:hAnsi="微软雅黑" w:eastAsia="微软雅黑"/>
        </w:rPr>
        <w:t>.6%</w:t>
      </w:r>
      <w:r>
        <w:rPr>
          <w:rFonts w:hint="eastAsia" w:ascii="微软雅黑" w:hAnsi="微软雅黑" w:eastAsia="微软雅黑"/>
        </w:rPr>
        <w:t>的环比增速进入前十名。</w:t>
      </w:r>
    </w:p>
    <w:p>
      <w:pPr>
        <w:snapToGrid w:val="0"/>
        <w:ind w:firstLine="360"/>
        <w:jc w:val="both"/>
        <w:rPr>
          <w:rFonts w:ascii="微软雅黑" w:hAnsi="微软雅黑" w:eastAsia="微软雅黑"/>
        </w:rPr>
      </w:pPr>
      <w:r>
        <w:rPr>
          <w:rFonts w:hint="eastAsia" w:ascii="微软雅黑" w:hAnsi="微软雅黑" w:eastAsia="微软雅黑"/>
        </w:rPr>
        <w:t>全行业中，平均薪酬增速高的还有印刷/包装/造纸、交通/运输、娱乐/体育/休闲、通信/电信/网络设备、环比增速分别为7</w:t>
      </w:r>
      <w:r>
        <w:rPr>
          <w:rFonts w:ascii="微软雅黑" w:hAnsi="微软雅黑" w:eastAsia="微软雅黑"/>
        </w:rPr>
        <w:t>.2%</w:t>
      </w:r>
      <w:r>
        <w:rPr>
          <w:rFonts w:hint="eastAsia" w:ascii="微软雅黑" w:hAnsi="微软雅黑" w:eastAsia="微软雅黑"/>
        </w:rPr>
        <w:t>、5</w:t>
      </w:r>
      <w:r>
        <w:rPr>
          <w:rFonts w:ascii="微软雅黑" w:hAnsi="微软雅黑" w:eastAsia="微软雅黑"/>
        </w:rPr>
        <w:t>.8%</w:t>
      </w:r>
      <w:r>
        <w:rPr>
          <w:rFonts w:hint="eastAsia" w:ascii="微软雅黑" w:hAnsi="微软雅黑" w:eastAsia="微软雅黑"/>
        </w:rPr>
        <w:t>、4</w:t>
      </w:r>
      <w:r>
        <w:rPr>
          <w:rFonts w:ascii="微软雅黑" w:hAnsi="微软雅黑" w:eastAsia="微软雅黑"/>
        </w:rPr>
        <w:t>.6%</w:t>
      </w:r>
      <w:r>
        <w:rPr>
          <w:rFonts w:hint="eastAsia" w:ascii="微软雅黑" w:hAnsi="微软雅黑" w:eastAsia="微软雅黑"/>
        </w:rPr>
        <w:t>、4</w:t>
      </w:r>
      <w:r>
        <w:rPr>
          <w:rFonts w:ascii="微软雅黑" w:hAnsi="微软雅黑" w:eastAsia="微软雅黑"/>
        </w:rPr>
        <w:t>.2%</w:t>
      </w:r>
      <w:r>
        <w:rPr>
          <w:rFonts w:hint="eastAsia" w:ascii="微软雅黑" w:hAnsi="微软雅黑" w:eastAsia="微软雅黑"/>
        </w:rPr>
        <w:t>。</w:t>
      </w:r>
    </w:p>
    <w:p>
      <w:pPr>
        <w:snapToGrid w:val="0"/>
        <w:ind w:right="210"/>
        <w:jc w:val="both"/>
        <w:rPr>
          <w:rFonts w:ascii="微软雅黑" w:hAnsi="微软雅黑" w:eastAsia="微软雅黑"/>
        </w:rPr>
      </w:pPr>
      <w:r>
        <w:drawing>
          <wp:inline distT="0" distB="0" distL="0" distR="0">
            <wp:extent cx="5270500" cy="432308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270500" cy="4323130"/>
                    </a:xfrm>
                    <a:prstGeom prst="rect">
                      <a:avLst/>
                    </a:prstGeom>
                    <a:noFill/>
                    <a:ln>
                      <a:noFill/>
                    </a:ln>
                  </pic:spPr>
                </pic:pic>
              </a:graphicData>
            </a:graphic>
          </wp:inline>
        </w:drawing>
      </w:r>
    </w:p>
    <w:p>
      <w:pPr>
        <w:snapToGrid w:val="0"/>
        <w:ind w:right="210"/>
        <w:jc w:val="both"/>
        <w:rPr>
          <w:rFonts w:ascii="微软雅黑" w:hAnsi="微软雅黑" w:eastAsia="微软雅黑"/>
        </w:rPr>
      </w:pPr>
    </w:p>
    <w:p>
      <w:pPr>
        <w:pStyle w:val="10"/>
        <w:numPr>
          <w:ilvl w:val="0"/>
          <w:numId w:val="4"/>
        </w:numPr>
        <w:snapToGrid w:val="0"/>
        <w:ind w:left="357" w:hanging="357" w:firstLineChars="0"/>
        <w:jc w:val="both"/>
        <w:outlineLvl w:val="1"/>
        <w:rPr>
          <w:rFonts w:ascii="微软雅黑" w:hAnsi="微软雅黑" w:eastAsia="微软雅黑"/>
          <w:b/>
          <w:bCs/>
        </w:rPr>
      </w:pPr>
      <w:r>
        <w:rPr>
          <w:rFonts w:hint="eastAsia" w:ascii="微软雅黑" w:hAnsi="微软雅黑" w:eastAsia="微软雅黑"/>
          <w:b/>
          <w:bCs/>
        </w:rPr>
        <w:t>数据分析以11063元/月新晋高薪榜单，IT岗位薪酬涨幅可观</w:t>
      </w:r>
    </w:p>
    <w:p>
      <w:pPr>
        <w:snapToGrid w:val="0"/>
        <w:ind w:firstLine="360"/>
        <w:jc w:val="both"/>
        <w:rPr>
          <w:rFonts w:ascii="微软雅黑" w:hAnsi="微软雅黑" w:eastAsia="微软雅黑"/>
        </w:rPr>
      </w:pPr>
      <w:r>
        <w:rPr>
          <w:rFonts w:hint="eastAsia" w:ascii="微软雅黑" w:hAnsi="微软雅黑" w:eastAsia="微软雅黑"/>
        </w:rPr>
        <w:t>职位方面，IT管理/项目协调以2</w:t>
      </w:r>
      <w:r>
        <w:rPr>
          <w:rFonts w:ascii="微软雅黑" w:hAnsi="微软雅黑" w:eastAsia="微软雅黑"/>
        </w:rPr>
        <w:t>3305</w:t>
      </w:r>
      <w:r>
        <w:rPr>
          <w:rFonts w:hint="eastAsia" w:ascii="微软雅黑" w:hAnsi="微软雅黑" w:eastAsia="微软雅黑"/>
        </w:rPr>
        <w:t>元/月的薪酬稳居第一，且环比与同比增幅分别为4</w:t>
      </w:r>
      <w:r>
        <w:rPr>
          <w:rFonts w:ascii="微软雅黑" w:hAnsi="微软雅黑" w:eastAsia="微软雅黑"/>
        </w:rPr>
        <w:t>.1%</w:t>
      </w:r>
      <w:r>
        <w:rPr>
          <w:rFonts w:hint="eastAsia" w:ascii="微软雅黑" w:hAnsi="微软雅黑" w:eastAsia="微软雅黑"/>
        </w:rPr>
        <w:t>、1</w:t>
      </w:r>
      <w:r>
        <w:rPr>
          <w:rFonts w:ascii="微软雅黑" w:hAnsi="微软雅黑" w:eastAsia="微软雅黑"/>
        </w:rPr>
        <w:t>7.9%</w:t>
      </w:r>
      <w:r>
        <w:rPr>
          <w:rFonts w:hint="eastAsia" w:ascii="微软雅黑" w:hAnsi="微软雅黑" w:eastAsia="微软雅黑"/>
        </w:rPr>
        <w:t>；高级管理平均薪酬为2</w:t>
      </w:r>
      <w:r>
        <w:rPr>
          <w:rFonts w:ascii="微软雅黑" w:hAnsi="微软雅黑" w:eastAsia="微软雅黑"/>
        </w:rPr>
        <w:t>0847</w:t>
      </w:r>
      <w:r>
        <w:rPr>
          <w:rFonts w:hint="eastAsia" w:ascii="微软雅黑" w:hAnsi="微软雅黑" w:eastAsia="微软雅黑"/>
        </w:rPr>
        <w:t>元/月，环比上涨1</w:t>
      </w:r>
      <w:r>
        <w:rPr>
          <w:rFonts w:ascii="微软雅黑" w:hAnsi="微软雅黑" w:eastAsia="微软雅黑"/>
        </w:rPr>
        <w:t>.2%</w:t>
      </w:r>
      <w:r>
        <w:rPr>
          <w:rFonts w:hint="eastAsia" w:ascii="微软雅黑" w:hAnsi="微软雅黑" w:eastAsia="微软雅黑"/>
        </w:rPr>
        <w:t>，排在第二名。本季度，咨询/顾问/调研/数据分析一职薪酬环比上涨4</w:t>
      </w:r>
      <w:r>
        <w:rPr>
          <w:rFonts w:ascii="微软雅黑" w:hAnsi="微软雅黑" w:eastAsia="微软雅黑"/>
        </w:rPr>
        <w:t>.4%</w:t>
      </w:r>
      <w:r>
        <w:rPr>
          <w:rFonts w:hint="eastAsia" w:ascii="微软雅黑" w:hAnsi="微软雅黑" w:eastAsia="微软雅黑"/>
        </w:rPr>
        <w:t>，以1</w:t>
      </w:r>
      <w:r>
        <w:rPr>
          <w:rFonts w:ascii="微软雅黑" w:hAnsi="微软雅黑" w:eastAsia="微软雅黑"/>
        </w:rPr>
        <w:t>1063</w:t>
      </w:r>
      <w:r>
        <w:rPr>
          <w:rFonts w:hint="eastAsia" w:ascii="微软雅黑" w:hAnsi="微软雅黑" w:eastAsia="微软雅黑"/>
        </w:rPr>
        <w:t>元/月挤走上一季度的公关/媒介，进入薪酬前十排行榜。</w:t>
      </w:r>
      <w:r>
        <w:rPr>
          <w:rFonts w:ascii="微软雅黑" w:hAnsi="微软雅黑" w:eastAsia="微软雅黑"/>
        </w:rPr>
        <w:t>IT管理/项目协调</w:t>
      </w:r>
      <w:r>
        <w:rPr>
          <w:rFonts w:hint="eastAsia" w:ascii="微软雅黑" w:hAnsi="微软雅黑" w:eastAsia="微软雅黑"/>
        </w:rPr>
        <w:t>、硬件开发、</w:t>
      </w:r>
      <w:r>
        <w:rPr>
          <w:rFonts w:ascii="微软雅黑" w:hAnsi="微软雅黑" w:eastAsia="微软雅黑"/>
        </w:rPr>
        <w:t>IT质量管理/测试/配置管理等技术岗位薪酬涨幅较高</w:t>
      </w:r>
      <w:r>
        <w:rPr>
          <w:rFonts w:hint="eastAsia" w:ascii="微软雅黑" w:hAnsi="微软雅黑" w:eastAsia="微软雅黑"/>
        </w:rPr>
        <w:t>，分别达4.1%、4.1%、4.2%。</w:t>
      </w:r>
    </w:p>
    <w:p>
      <w:pPr>
        <w:snapToGrid w:val="0"/>
        <w:ind w:firstLine="360"/>
        <w:jc w:val="both"/>
        <w:rPr>
          <w:rFonts w:ascii="微软雅黑" w:hAnsi="微软雅黑" w:eastAsia="微软雅黑"/>
        </w:rPr>
      </w:pPr>
      <w:r>
        <w:rPr>
          <w:rFonts w:hint="eastAsia" w:ascii="微软雅黑" w:hAnsi="微软雅黑" w:eastAsia="微软雅黑"/>
        </w:rPr>
        <w:t>与上一季度相比，本季度薪酬环比上升快的职业还有能源/矿产/地质勘查、汽车制造和公务员/事业单位/科研机构，增速均超过5</w:t>
      </w:r>
      <w:r>
        <w:rPr>
          <w:rFonts w:ascii="微软雅黑" w:hAnsi="微软雅黑" w:eastAsia="微软雅黑"/>
        </w:rPr>
        <w:t>%</w:t>
      </w:r>
      <w:r>
        <w:rPr>
          <w:rFonts w:hint="eastAsia" w:ascii="微软雅黑" w:hAnsi="微软雅黑" w:eastAsia="微软雅黑"/>
        </w:rPr>
        <w:t>，名次也分别上升4位、2位、2位。</w:t>
      </w:r>
    </w:p>
    <w:p>
      <w:pPr>
        <w:snapToGrid w:val="0"/>
        <w:ind w:right="210"/>
        <w:jc w:val="both"/>
        <w:rPr>
          <w:rFonts w:ascii="微软雅黑" w:hAnsi="微软雅黑" w:eastAsia="微软雅黑"/>
        </w:rPr>
      </w:pPr>
      <w:r>
        <w:drawing>
          <wp:inline distT="0" distB="0" distL="0" distR="0">
            <wp:extent cx="5270500" cy="5824220"/>
            <wp:effectExtent l="0" t="0" r="0" b="508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70500" cy="5824455"/>
                    </a:xfrm>
                    <a:prstGeom prst="rect">
                      <a:avLst/>
                    </a:prstGeom>
                    <a:noFill/>
                    <a:ln>
                      <a:noFill/>
                    </a:ln>
                  </pic:spPr>
                </pic:pic>
              </a:graphicData>
            </a:graphic>
          </wp:inline>
        </w:drawing>
      </w:r>
    </w:p>
    <w:p>
      <w:pPr>
        <w:snapToGrid w:val="0"/>
        <w:ind w:right="210"/>
        <w:jc w:val="both"/>
        <w:rPr>
          <w:rFonts w:ascii="微软雅黑" w:hAnsi="微软雅黑" w:eastAsia="微软雅黑"/>
        </w:rPr>
      </w:pPr>
    </w:p>
    <w:p>
      <w:pPr>
        <w:snapToGrid w:val="0"/>
        <w:ind w:firstLine="420"/>
        <w:jc w:val="both"/>
        <w:rPr>
          <w:rFonts w:ascii="微软雅黑" w:hAnsi="微软雅黑" w:eastAsia="微软雅黑"/>
        </w:rPr>
      </w:pPr>
      <w:r>
        <w:rPr>
          <w:rFonts w:hint="eastAsia" w:ascii="微软雅黑" w:hAnsi="微软雅黑" w:eastAsia="微软雅黑"/>
        </w:rPr>
        <w:t>通过智联招聘平台数据可以发现，与去年疫情期间相比，今年一季度就业市场供需两端均明显恢复，且企业招聘需求扩张更明显，为求职者提供更多机会的同时，也提升了平均薪资水平以加大引才力度。后疫情时代，求职者们都对安全稳定的国企、大型企业更加倾心，许多求职者纷纷加入灵活就业大军以拓展收入渠道，也体现出技能增值为人才带来的全新可能性。</w:t>
      </w:r>
    </w:p>
    <w:sectPr>
      <w:pgSz w:w="11900" w:h="16840"/>
      <w:pgMar w:top="1440" w:right="187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Wingdings">
    <w:panose1 w:val="05000000000000000000"/>
    <w:charset w:val="00"/>
    <w:family w:val="decorative"/>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236263"/>
    <w:multiLevelType w:val="multilevel"/>
    <w:tmpl w:val="22236263"/>
    <w:lvl w:ilvl="0" w:tentative="0">
      <w:start w:val="1"/>
      <w:numFmt w:val="decimal"/>
      <w:lvlText w:val="%1."/>
      <w:lvlJc w:val="left"/>
      <w:pPr>
        <w:ind w:left="360" w:hanging="36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05360A0"/>
    <w:multiLevelType w:val="multilevel"/>
    <w:tmpl w:val="405360A0"/>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37D5379"/>
    <w:multiLevelType w:val="multilevel"/>
    <w:tmpl w:val="437D5379"/>
    <w:lvl w:ilvl="0" w:tentative="0">
      <w:start w:val="1"/>
      <w:numFmt w:val="decimal"/>
      <w:lvlText w:val="%1."/>
      <w:lvlJc w:val="left"/>
      <w:pPr>
        <w:ind w:left="360" w:hanging="36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CF21BB4"/>
    <w:multiLevelType w:val="multilevel"/>
    <w:tmpl w:val="4CF21BB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47A"/>
    <w:rsid w:val="00007326"/>
    <w:rsid w:val="0000750A"/>
    <w:rsid w:val="00007978"/>
    <w:rsid w:val="00013BF4"/>
    <w:rsid w:val="000219D3"/>
    <w:rsid w:val="00030E49"/>
    <w:rsid w:val="00032910"/>
    <w:rsid w:val="0003651B"/>
    <w:rsid w:val="00036CE1"/>
    <w:rsid w:val="0003765C"/>
    <w:rsid w:val="0004075A"/>
    <w:rsid w:val="00043E0A"/>
    <w:rsid w:val="000578CF"/>
    <w:rsid w:val="00063E49"/>
    <w:rsid w:val="00071DE1"/>
    <w:rsid w:val="0007496F"/>
    <w:rsid w:val="0007663C"/>
    <w:rsid w:val="00090654"/>
    <w:rsid w:val="000931BA"/>
    <w:rsid w:val="000931DA"/>
    <w:rsid w:val="000A1917"/>
    <w:rsid w:val="000A53AD"/>
    <w:rsid w:val="000B43CD"/>
    <w:rsid w:val="000B55CB"/>
    <w:rsid w:val="000C67EB"/>
    <w:rsid w:val="000D1E9D"/>
    <w:rsid w:val="000D31F2"/>
    <w:rsid w:val="000D49DC"/>
    <w:rsid w:val="000F16DD"/>
    <w:rsid w:val="000F336A"/>
    <w:rsid w:val="000F49AF"/>
    <w:rsid w:val="000F6A46"/>
    <w:rsid w:val="000F7A40"/>
    <w:rsid w:val="00103F87"/>
    <w:rsid w:val="00103F9B"/>
    <w:rsid w:val="00126839"/>
    <w:rsid w:val="001270CD"/>
    <w:rsid w:val="00135333"/>
    <w:rsid w:val="001405FC"/>
    <w:rsid w:val="001538B6"/>
    <w:rsid w:val="0015525B"/>
    <w:rsid w:val="001570DE"/>
    <w:rsid w:val="00164E64"/>
    <w:rsid w:val="00170D82"/>
    <w:rsid w:val="00172B36"/>
    <w:rsid w:val="00175A7E"/>
    <w:rsid w:val="00190234"/>
    <w:rsid w:val="00193808"/>
    <w:rsid w:val="00196894"/>
    <w:rsid w:val="001A397E"/>
    <w:rsid w:val="001A59F8"/>
    <w:rsid w:val="001A5DB1"/>
    <w:rsid w:val="001B41BB"/>
    <w:rsid w:val="001B475B"/>
    <w:rsid w:val="001C26A1"/>
    <w:rsid w:val="001C26C5"/>
    <w:rsid w:val="001C7AA4"/>
    <w:rsid w:val="001D23F0"/>
    <w:rsid w:val="001D5421"/>
    <w:rsid w:val="001D5BC5"/>
    <w:rsid w:val="001E27FD"/>
    <w:rsid w:val="001E4BE4"/>
    <w:rsid w:val="001F64F4"/>
    <w:rsid w:val="00201558"/>
    <w:rsid w:val="00202918"/>
    <w:rsid w:val="002042A4"/>
    <w:rsid w:val="002047D9"/>
    <w:rsid w:val="00206B1F"/>
    <w:rsid w:val="0022395B"/>
    <w:rsid w:val="00223EE3"/>
    <w:rsid w:val="00225485"/>
    <w:rsid w:val="002313CB"/>
    <w:rsid w:val="00236F7B"/>
    <w:rsid w:val="002516C2"/>
    <w:rsid w:val="002529ED"/>
    <w:rsid w:val="00265147"/>
    <w:rsid w:val="00271293"/>
    <w:rsid w:val="00277A31"/>
    <w:rsid w:val="00277D80"/>
    <w:rsid w:val="00286233"/>
    <w:rsid w:val="00286785"/>
    <w:rsid w:val="00286C8A"/>
    <w:rsid w:val="002959B1"/>
    <w:rsid w:val="002A5F51"/>
    <w:rsid w:val="002B1994"/>
    <w:rsid w:val="002B25C7"/>
    <w:rsid w:val="002B42D7"/>
    <w:rsid w:val="002B43AB"/>
    <w:rsid w:val="002B56CE"/>
    <w:rsid w:val="002C2EE5"/>
    <w:rsid w:val="002C59A3"/>
    <w:rsid w:val="002D2BEA"/>
    <w:rsid w:val="002D4E37"/>
    <w:rsid w:val="002D55CB"/>
    <w:rsid w:val="002E5322"/>
    <w:rsid w:val="00305856"/>
    <w:rsid w:val="00313EDF"/>
    <w:rsid w:val="003212C8"/>
    <w:rsid w:val="0032467F"/>
    <w:rsid w:val="003252FD"/>
    <w:rsid w:val="00331996"/>
    <w:rsid w:val="0034181D"/>
    <w:rsid w:val="00343E64"/>
    <w:rsid w:val="003451E3"/>
    <w:rsid w:val="00354B0C"/>
    <w:rsid w:val="003552D0"/>
    <w:rsid w:val="0035689F"/>
    <w:rsid w:val="0036084F"/>
    <w:rsid w:val="0036263A"/>
    <w:rsid w:val="00366F6A"/>
    <w:rsid w:val="00373567"/>
    <w:rsid w:val="00375872"/>
    <w:rsid w:val="00380173"/>
    <w:rsid w:val="0038260C"/>
    <w:rsid w:val="00383F15"/>
    <w:rsid w:val="00384F26"/>
    <w:rsid w:val="00390DBA"/>
    <w:rsid w:val="003936B2"/>
    <w:rsid w:val="003A0C06"/>
    <w:rsid w:val="003A7994"/>
    <w:rsid w:val="003B6FDF"/>
    <w:rsid w:val="003C00BC"/>
    <w:rsid w:val="003C5BAE"/>
    <w:rsid w:val="003E669C"/>
    <w:rsid w:val="003F390C"/>
    <w:rsid w:val="003F3E55"/>
    <w:rsid w:val="003F5485"/>
    <w:rsid w:val="003F5C61"/>
    <w:rsid w:val="003F70BD"/>
    <w:rsid w:val="0040068E"/>
    <w:rsid w:val="004036A4"/>
    <w:rsid w:val="0040536E"/>
    <w:rsid w:val="00405B91"/>
    <w:rsid w:val="004069B0"/>
    <w:rsid w:val="00407C01"/>
    <w:rsid w:val="00417379"/>
    <w:rsid w:val="0042114B"/>
    <w:rsid w:val="00425101"/>
    <w:rsid w:val="00430083"/>
    <w:rsid w:val="00451753"/>
    <w:rsid w:val="0046112E"/>
    <w:rsid w:val="004632B4"/>
    <w:rsid w:val="00475B26"/>
    <w:rsid w:val="0048173C"/>
    <w:rsid w:val="00483BE3"/>
    <w:rsid w:val="004937FE"/>
    <w:rsid w:val="00493FBC"/>
    <w:rsid w:val="00496098"/>
    <w:rsid w:val="004A22EA"/>
    <w:rsid w:val="004A35C0"/>
    <w:rsid w:val="004A51F6"/>
    <w:rsid w:val="004A53FE"/>
    <w:rsid w:val="004B255B"/>
    <w:rsid w:val="004B2E2E"/>
    <w:rsid w:val="004B3A6D"/>
    <w:rsid w:val="004B4AA4"/>
    <w:rsid w:val="004C2166"/>
    <w:rsid w:val="004C36E7"/>
    <w:rsid w:val="004C39A1"/>
    <w:rsid w:val="004C59FB"/>
    <w:rsid w:val="004C5FD0"/>
    <w:rsid w:val="004C6F08"/>
    <w:rsid w:val="004C72E5"/>
    <w:rsid w:val="004D5138"/>
    <w:rsid w:val="004F7866"/>
    <w:rsid w:val="005027C6"/>
    <w:rsid w:val="00503242"/>
    <w:rsid w:val="005059CC"/>
    <w:rsid w:val="00511F44"/>
    <w:rsid w:val="00522619"/>
    <w:rsid w:val="00523FA5"/>
    <w:rsid w:val="0052419F"/>
    <w:rsid w:val="00534D63"/>
    <w:rsid w:val="005401DF"/>
    <w:rsid w:val="00540206"/>
    <w:rsid w:val="00544C0F"/>
    <w:rsid w:val="0054766E"/>
    <w:rsid w:val="00551349"/>
    <w:rsid w:val="005543DB"/>
    <w:rsid w:val="005566D4"/>
    <w:rsid w:val="00557E00"/>
    <w:rsid w:val="005678FB"/>
    <w:rsid w:val="00571135"/>
    <w:rsid w:val="0057534D"/>
    <w:rsid w:val="00580A29"/>
    <w:rsid w:val="00583F83"/>
    <w:rsid w:val="0058755F"/>
    <w:rsid w:val="00596236"/>
    <w:rsid w:val="0059785F"/>
    <w:rsid w:val="005C1BC7"/>
    <w:rsid w:val="005C1ED7"/>
    <w:rsid w:val="005C74DD"/>
    <w:rsid w:val="005C7AA9"/>
    <w:rsid w:val="005D006C"/>
    <w:rsid w:val="005D60C5"/>
    <w:rsid w:val="005F7250"/>
    <w:rsid w:val="005F7542"/>
    <w:rsid w:val="00606FDB"/>
    <w:rsid w:val="0060798A"/>
    <w:rsid w:val="006157CE"/>
    <w:rsid w:val="00617F63"/>
    <w:rsid w:val="006232FD"/>
    <w:rsid w:val="0064046C"/>
    <w:rsid w:val="006406E0"/>
    <w:rsid w:val="00640FCA"/>
    <w:rsid w:val="00642C7E"/>
    <w:rsid w:val="00650180"/>
    <w:rsid w:val="00650329"/>
    <w:rsid w:val="0065051F"/>
    <w:rsid w:val="006556BC"/>
    <w:rsid w:val="00657FF5"/>
    <w:rsid w:val="00662AF1"/>
    <w:rsid w:val="00671148"/>
    <w:rsid w:val="0067668D"/>
    <w:rsid w:val="006841C7"/>
    <w:rsid w:val="006970FD"/>
    <w:rsid w:val="006A39FE"/>
    <w:rsid w:val="006B2327"/>
    <w:rsid w:val="006B3FBA"/>
    <w:rsid w:val="006B4E6E"/>
    <w:rsid w:val="006B7B19"/>
    <w:rsid w:val="006C0EC8"/>
    <w:rsid w:val="006F3566"/>
    <w:rsid w:val="006F5769"/>
    <w:rsid w:val="006F5CB5"/>
    <w:rsid w:val="00703F90"/>
    <w:rsid w:val="007074B2"/>
    <w:rsid w:val="00707B22"/>
    <w:rsid w:val="00720C77"/>
    <w:rsid w:val="00724585"/>
    <w:rsid w:val="00730600"/>
    <w:rsid w:val="007315F2"/>
    <w:rsid w:val="0073278F"/>
    <w:rsid w:val="007373E3"/>
    <w:rsid w:val="007406AB"/>
    <w:rsid w:val="0074376E"/>
    <w:rsid w:val="00747A33"/>
    <w:rsid w:val="00752DB6"/>
    <w:rsid w:val="00765195"/>
    <w:rsid w:val="00777708"/>
    <w:rsid w:val="00781334"/>
    <w:rsid w:val="00781428"/>
    <w:rsid w:val="007824AB"/>
    <w:rsid w:val="0078604B"/>
    <w:rsid w:val="00793263"/>
    <w:rsid w:val="007A3242"/>
    <w:rsid w:val="007A68E3"/>
    <w:rsid w:val="007A6CCF"/>
    <w:rsid w:val="007B120F"/>
    <w:rsid w:val="007B58E9"/>
    <w:rsid w:val="007C24A3"/>
    <w:rsid w:val="007C65F2"/>
    <w:rsid w:val="007C7B50"/>
    <w:rsid w:val="007D399A"/>
    <w:rsid w:val="007E0E30"/>
    <w:rsid w:val="007F5CBB"/>
    <w:rsid w:val="00805C74"/>
    <w:rsid w:val="00810F92"/>
    <w:rsid w:val="008120AE"/>
    <w:rsid w:val="0081426D"/>
    <w:rsid w:val="00816D87"/>
    <w:rsid w:val="00817097"/>
    <w:rsid w:val="0082176A"/>
    <w:rsid w:val="0082298D"/>
    <w:rsid w:val="008263C7"/>
    <w:rsid w:val="008337AC"/>
    <w:rsid w:val="00834B35"/>
    <w:rsid w:val="00837918"/>
    <w:rsid w:val="00844ACD"/>
    <w:rsid w:val="00845E95"/>
    <w:rsid w:val="008477AB"/>
    <w:rsid w:val="008556C8"/>
    <w:rsid w:val="00860732"/>
    <w:rsid w:val="008677B0"/>
    <w:rsid w:val="00870001"/>
    <w:rsid w:val="0087342F"/>
    <w:rsid w:val="008801C8"/>
    <w:rsid w:val="00882B09"/>
    <w:rsid w:val="00884403"/>
    <w:rsid w:val="00884B71"/>
    <w:rsid w:val="00884E5D"/>
    <w:rsid w:val="00887B02"/>
    <w:rsid w:val="00893ACC"/>
    <w:rsid w:val="008A0CE7"/>
    <w:rsid w:val="008A0E7D"/>
    <w:rsid w:val="008A291D"/>
    <w:rsid w:val="008A2BA1"/>
    <w:rsid w:val="008B48C1"/>
    <w:rsid w:val="008B6314"/>
    <w:rsid w:val="008C4966"/>
    <w:rsid w:val="008D3FED"/>
    <w:rsid w:val="008D4514"/>
    <w:rsid w:val="008D4C3B"/>
    <w:rsid w:val="008E43F8"/>
    <w:rsid w:val="00900C23"/>
    <w:rsid w:val="009019ED"/>
    <w:rsid w:val="0090386B"/>
    <w:rsid w:val="00905449"/>
    <w:rsid w:val="009143DF"/>
    <w:rsid w:val="00916C3C"/>
    <w:rsid w:val="00935089"/>
    <w:rsid w:val="00936920"/>
    <w:rsid w:val="00936EED"/>
    <w:rsid w:val="00940470"/>
    <w:rsid w:val="00940B04"/>
    <w:rsid w:val="00941983"/>
    <w:rsid w:val="00942F86"/>
    <w:rsid w:val="009471D5"/>
    <w:rsid w:val="009501E4"/>
    <w:rsid w:val="009533FE"/>
    <w:rsid w:val="00953890"/>
    <w:rsid w:val="009540BB"/>
    <w:rsid w:val="00954124"/>
    <w:rsid w:val="00956272"/>
    <w:rsid w:val="00960367"/>
    <w:rsid w:val="00965520"/>
    <w:rsid w:val="0097653F"/>
    <w:rsid w:val="0098475D"/>
    <w:rsid w:val="009869BD"/>
    <w:rsid w:val="00986A22"/>
    <w:rsid w:val="009A52D5"/>
    <w:rsid w:val="009B2A86"/>
    <w:rsid w:val="009B2B4C"/>
    <w:rsid w:val="009B3C5A"/>
    <w:rsid w:val="009B47E0"/>
    <w:rsid w:val="009B5A33"/>
    <w:rsid w:val="009D5BF6"/>
    <w:rsid w:val="009E2C71"/>
    <w:rsid w:val="009E7807"/>
    <w:rsid w:val="00A02E2F"/>
    <w:rsid w:val="00A1081B"/>
    <w:rsid w:val="00A21929"/>
    <w:rsid w:val="00A43D08"/>
    <w:rsid w:val="00A475F0"/>
    <w:rsid w:val="00A4780A"/>
    <w:rsid w:val="00A50EEF"/>
    <w:rsid w:val="00A521F9"/>
    <w:rsid w:val="00A56A33"/>
    <w:rsid w:val="00A575B2"/>
    <w:rsid w:val="00A6272C"/>
    <w:rsid w:val="00A722C3"/>
    <w:rsid w:val="00A9254D"/>
    <w:rsid w:val="00A960F0"/>
    <w:rsid w:val="00A962EA"/>
    <w:rsid w:val="00AB3FE9"/>
    <w:rsid w:val="00AB6D49"/>
    <w:rsid w:val="00AC1BEC"/>
    <w:rsid w:val="00AC2AF9"/>
    <w:rsid w:val="00AD0DB1"/>
    <w:rsid w:val="00AD2B63"/>
    <w:rsid w:val="00AF0449"/>
    <w:rsid w:val="00B21459"/>
    <w:rsid w:val="00B21A2E"/>
    <w:rsid w:val="00B21B04"/>
    <w:rsid w:val="00B22DB0"/>
    <w:rsid w:val="00B27950"/>
    <w:rsid w:val="00B3080C"/>
    <w:rsid w:val="00B31CA3"/>
    <w:rsid w:val="00B34085"/>
    <w:rsid w:val="00B35019"/>
    <w:rsid w:val="00B426A1"/>
    <w:rsid w:val="00B43EB3"/>
    <w:rsid w:val="00B47A45"/>
    <w:rsid w:val="00B618B1"/>
    <w:rsid w:val="00B67EA9"/>
    <w:rsid w:val="00B71014"/>
    <w:rsid w:val="00B76E67"/>
    <w:rsid w:val="00B82728"/>
    <w:rsid w:val="00B905AB"/>
    <w:rsid w:val="00B931F7"/>
    <w:rsid w:val="00B97C73"/>
    <w:rsid w:val="00BD1C53"/>
    <w:rsid w:val="00BD2957"/>
    <w:rsid w:val="00BD6C56"/>
    <w:rsid w:val="00BF23AB"/>
    <w:rsid w:val="00BF5FE7"/>
    <w:rsid w:val="00BF7268"/>
    <w:rsid w:val="00C05E1E"/>
    <w:rsid w:val="00C0773B"/>
    <w:rsid w:val="00C2147A"/>
    <w:rsid w:val="00C35523"/>
    <w:rsid w:val="00C35DAA"/>
    <w:rsid w:val="00C4753F"/>
    <w:rsid w:val="00C50DE9"/>
    <w:rsid w:val="00C52B81"/>
    <w:rsid w:val="00C55141"/>
    <w:rsid w:val="00C55C44"/>
    <w:rsid w:val="00C641E4"/>
    <w:rsid w:val="00C72001"/>
    <w:rsid w:val="00C74682"/>
    <w:rsid w:val="00C75A79"/>
    <w:rsid w:val="00C75ECF"/>
    <w:rsid w:val="00C769AE"/>
    <w:rsid w:val="00C813C3"/>
    <w:rsid w:val="00C90271"/>
    <w:rsid w:val="00C971D7"/>
    <w:rsid w:val="00CB1D3D"/>
    <w:rsid w:val="00CB3264"/>
    <w:rsid w:val="00CB6CC5"/>
    <w:rsid w:val="00CC1922"/>
    <w:rsid w:val="00CF2553"/>
    <w:rsid w:val="00CF3A82"/>
    <w:rsid w:val="00CF3F41"/>
    <w:rsid w:val="00CF5A18"/>
    <w:rsid w:val="00D02FB1"/>
    <w:rsid w:val="00D076E5"/>
    <w:rsid w:val="00D129FC"/>
    <w:rsid w:val="00D12E46"/>
    <w:rsid w:val="00D1338C"/>
    <w:rsid w:val="00D2259A"/>
    <w:rsid w:val="00D25912"/>
    <w:rsid w:val="00D30B00"/>
    <w:rsid w:val="00D33778"/>
    <w:rsid w:val="00D339D6"/>
    <w:rsid w:val="00D3762B"/>
    <w:rsid w:val="00D401BE"/>
    <w:rsid w:val="00D40397"/>
    <w:rsid w:val="00D407EA"/>
    <w:rsid w:val="00D467B1"/>
    <w:rsid w:val="00D566DE"/>
    <w:rsid w:val="00D6286E"/>
    <w:rsid w:val="00D6531F"/>
    <w:rsid w:val="00D71CFB"/>
    <w:rsid w:val="00D74AF7"/>
    <w:rsid w:val="00D8318C"/>
    <w:rsid w:val="00D86BBF"/>
    <w:rsid w:val="00D86CFF"/>
    <w:rsid w:val="00DA1E6F"/>
    <w:rsid w:val="00DA250A"/>
    <w:rsid w:val="00DA61BA"/>
    <w:rsid w:val="00DB0661"/>
    <w:rsid w:val="00DB5A7A"/>
    <w:rsid w:val="00DB7D4A"/>
    <w:rsid w:val="00DC05A6"/>
    <w:rsid w:val="00DC2449"/>
    <w:rsid w:val="00DC761E"/>
    <w:rsid w:val="00DD27E5"/>
    <w:rsid w:val="00DE629C"/>
    <w:rsid w:val="00DE7695"/>
    <w:rsid w:val="00DF508B"/>
    <w:rsid w:val="00E0092B"/>
    <w:rsid w:val="00E07A26"/>
    <w:rsid w:val="00E13F4B"/>
    <w:rsid w:val="00E212CA"/>
    <w:rsid w:val="00E217A1"/>
    <w:rsid w:val="00E22CC9"/>
    <w:rsid w:val="00E37897"/>
    <w:rsid w:val="00E45032"/>
    <w:rsid w:val="00E47784"/>
    <w:rsid w:val="00E55611"/>
    <w:rsid w:val="00E55B8A"/>
    <w:rsid w:val="00E60BB3"/>
    <w:rsid w:val="00E83927"/>
    <w:rsid w:val="00E86B89"/>
    <w:rsid w:val="00E90E67"/>
    <w:rsid w:val="00EA217A"/>
    <w:rsid w:val="00EA34C3"/>
    <w:rsid w:val="00EB0A8F"/>
    <w:rsid w:val="00EB0AFB"/>
    <w:rsid w:val="00EB1802"/>
    <w:rsid w:val="00EB20FC"/>
    <w:rsid w:val="00EC246B"/>
    <w:rsid w:val="00ED2E7E"/>
    <w:rsid w:val="00ED5FF7"/>
    <w:rsid w:val="00ED608B"/>
    <w:rsid w:val="00EF2176"/>
    <w:rsid w:val="00EF49D3"/>
    <w:rsid w:val="00EF61AA"/>
    <w:rsid w:val="00F00AAE"/>
    <w:rsid w:val="00F05EFF"/>
    <w:rsid w:val="00F11458"/>
    <w:rsid w:val="00F1320E"/>
    <w:rsid w:val="00F2026C"/>
    <w:rsid w:val="00F3050D"/>
    <w:rsid w:val="00F377E7"/>
    <w:rsid w:val="00F47900"/>
    <w:rsid w:val="00F534FF"/>
    <w:rsid w:val="00F54F55"/>
    <w:rsid w:val="00F57402"/>
    <w:rsid w:val="00F61F27"/>
    <w:rsid w:val="00F63483"/>
    <w:rsid w:val="00F649DF"/>
    <w:rsid w:val="00F6664A"/>
    <w:rsid w:val="00F7506D"/>
    <w:rsid w:val="00F80AC1"/>
    <w:rsid w:val="00F812C3"/>
    <w:rsid w:val="00F832BC"/>
    <w:rsid w:val="00F9325E"/>
    <w:rsid w:val="00F975AA"/>
    <w:rsid w:val="00FA25EA"/>
    <w:rsid w:val="00FA427B"/>
    <w:rsid w:val="00FA51B2"/>
    <w:rsid w:val="00FA57A4"/>
    <w:rsid w:val="00FC6C94"/>
    <w:rsid w:val="00FD0BEA"/>
    <w:rsid w:val="00FE24D4"/>
    <w:rsid w:val="00FE2DE2"/>
    <w:rsid w:val="00FF7A7B"/>
    <w:rsid w:val="55983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style>
  <w:style w:type="paragraph" w:styleId="3">
    <w:name w:val="Balloon Text"/>
    <w:basedOn w:val="1"/>
    <w:link w:val="11"/>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qFormat/>
    <w:uiPriority w:val="99"/>
    <w:rPr>
      <w:sz w:val="21"/>
      <w:szCs w:val="21"/>
    </w:rPr>
  </w:style>
  <w:style w:type="paragraph" w:styleId="10">
    <w:name w:val="List Paragraph"/>
    <w:basedOn w:val="1"/>
    <w:qFormat/>
    <w:uiPriority w:val="34"/>
    <w:pPr>
      <w:ind w:firstLine="420" w:firstLineChars="200"/>
    </w:pPr>
  </w:style>
  <w:style w:type="character" w:customStyle="1" w:styleId="11">
    <w:name w:val="批注框文本 字符"/>
    <w:basedOn w:val="8"/>
    <w:link w:val="3"/>
    <w:semiHidden/>
    <w:qFormat/>
    <w:uiPriority w:val="99"/>
    <w:rPr>
      <w:sz w:val="18"/>
      <w:szCs w:val="18"/>
    </w:rPr>
  </w:style>
  <w:style w:type="character" w:customStyle="1" w:styleId="12">
    <w:name w:val="批注文字 字符"/>
    <w:basedOn w:val="8"/>
    <w:link w:val="2"/>
    <w:semiHidden/>
    <w:qFormat/>
    <w:uiPriority w:val="99"/>
  </w:style>
  <w:style w:type="character" w:customStyle="1" w:styleId="13">
    <w:name w:val="批注主题 字符"/>
    <w:basedOn w:val="12"/>
    <w:link w:val="6"/>
    <w:semiHidden/>
    <w:qFormat/>
    <w:uiPriority w:val="99"/>
    <w:rPr>
      <w:b/>
      <w:bCs/>
    </w:rPr>
  </w:style>
  <w:style w:type="character" w:customStyle="1" w:styleId="14">
    <w:name w:val="页眉 字符"/>
    <w:basedOn w:val="8"/>
    <w:link w:val="5"/>
    <w:qFormat/>
    <w:uiPriority w:val="99"/>
    <w:rPr>
      <w:sz w:val="18"/>
      <w:szCs w:val="18"/>
    </w:rPr>
  </w:style>
  <w:style w:type="character" w:customStyle="1" w:styleId="15">
    <w:name w:val="页脚 字符"/>
    <w:basedOn w:val="8"/>
    <w:link w:val="4"/>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image" Target="media/image2.emf"/><Relationship Id="rId7" Type="http://schemas.openxmlformats.org/officeDocument/2006/relationships/image" Target="media/image1.emf"/><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6.emf"/><Relationship Id="rId15" Type="http://schemas.openxmlformats.org/officeDocument/2006/relationships/image" Target="media/image5.emf"/><Relationship Id="rId14" Type="http://schemas.openxmlformats.org/officeDocument/2006/relationships/chart" Target="charts/chart7.xml"/><Relationship Id="rId13" Type="http://schemas.openxmlformats.org/officeDocument/2006/relationships/chart" Target="charts/chart6.xml"/><Relationship Id="rId12" Type="http://schemas.openxmlformats.org/officeDocument/2006/relationships/image" Target="media/image4.emf"/><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Users\hongcishen\Desktop\&#12304;&#21046;&#34920;&#12305;2021Q1&#25165;&#24773;&#25253;&#21578;.xlsx" TargetMode="Externa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themeOverride" Target="../theme/themeOverride2.xml"/><Relationship Id="rId1" Type="http://schemas.openxmlformats.org/officeDocument/2006/relationships/oleObject" Target="file:///\\Users\hongcishen\Desktop\&#12304;&#21046;&#34920;&#12305;2021Q1&#25165;&#24773;&#25253;&#21578;.xlsx" TargetMode="Externa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6.xml"/><Relationship Id="rId2" Type="http://schemas.openxmlformats.org/officeDocument/2006/relationships/themeOverride" Target="../theme/themeOverride3.xml"/><Relationship Id="rId1" Type="http://schemas.openxmlformats.org/officeDocument/2006/relationships/oleObject" Target="file:///\\Users\hongcishen\Desktop\&#12304;&#21046;&#34920;&#12305;2021Q1&#25165;&#24773;&#25253;&#21578;.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Users\hongcishen\Desktop\&#12304;&#21046;&#34920;&#12305;2021Q1&#25165;&#24773;&#25253;&#21578;.xlsx" TargetMode="Externa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themeOverride" Target="../theme/themeOverride1.xml"/><Relationship Id="rId1" Type="http://schemas.openxmlformats.org/officeDocument/2006/relationships/oleObject" Target="file:///\\Users\hongcishen\Desktop\&#12304;&#21046;&#34920;&#12305;2021Q1&#25165;&#24773;&#25253;&#21578;.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Users\hongcishen\Desktop\&#12304;&#21046;&#34920;&#12305;2021Q1&#25165;&#24773;&#25253;&#21578;.xlsx"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Users\hongcishen\Desktop\&#12304;&#21046;&#34920;&#12305;2021Q1&#25165;&#24773;&#25253;&#2157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0" vertOverflow="ellipsis" vert="horz" wrap="square" anchor="ctr" anchorCtr="1"/>
          <a:lstStyle/>
          <a:p>
            <a:pPr algn="r">
              <a:defRPr lang="zh-CN" sz="1400" b="1" i="0" u="none" strike="noStrike" kern="1200" baseline="0">
                <a:solidFill>
                  <a:schemeClr val="tx1"/>
                </a:solidFill>
                <a:latin typeface="微软雅黑" panose="020B0503020204020204" pitchFamily="2" charset="-122"/>
                <a:ea typeface="微软雅黑" panose="020B0503020204020204" pitchFamily="2" charset="-122"/>
                <a:cs typeface="+mn-cs"/>
              </a:defRPr>
            </a:pPr>
            <a:r>
              <a:rPr lang="zh-CN" altLang="en-US" sz="1400" b="1">
                <a:latin typeface="微软雅黑" panose="020B0503020204020204" pitchFamily="2" charset="-122"/>
                <a:ea typeface="微软雅黑" panose="020B0503020204020204" pitchFamily="2" charset="-122"/>
              </a:rPr>
              <a:t>过去一年求职供需竞争指数比较</a:t>
            </a:r>
            <a:endParaRPr lang="zh-CN" altLang="en-US" sz="1400" b="1">
              <a:latin typeface="微软雅黑" panose="020B0503020204020204" pitchFamily="2" charset="-122"/>
              <a:ea typeface="微软雅黑" panose="020B0503020204020204" pitchFamily="2" charset="-122"/>
            </a:endParaRPr>
          </a:p>
          <a:p>
            <a:pPr algn="r">
              <a:defRPr lang="zh-CN" sz="1400" b="1" i="0" u="none" strike="noStrike" kern="1200" baseline="0">
                <a:solidFill>
                  <a:schemeClr val="tx1"/>
                </a:solidFill>
                <a:latin typeface="微软雅黑" panose="020B0503020204020204" pitchFamily="2" charset="-122"/>
                <a:ea typeface="微软雅黑" panose="020B0503020204020204" pitchFamily="2" charset="-122"/>
                <a:cs typeface="+mn-cs"/>
              </a:defRPr>
            </a:pPr>
            <a:r>
              <a:rPr lang="zh-CN" altLang="en-US" sz="1000" b="1">
                <a:latin typeface="微软雅黑" panose="020B0503020204020204" pitchFamily="2" charset="-122"/>
                <a:ea typeface="微软雅黑" panose="020B0503020204020204" pitchFamily="2" charset="-122"/>
              </a:rPr>
              <a:t>（注：供需竞争指数＝简历投递量</a:t>
            </a:r>
            <a:r>
              <a:rPr lang="en-US" altLang="zh-CN" sz="1000" b="1">
                <a:latin typeface="微软雅黑" panose="020B0503020204020204" pitchFamily="2" charset="-122"/>
                <a:ea typeface="微软雅黑" panose="020B0503020204020204" pitchFamily="2" charset="-122"/>
              </a:rPr>
              <a:t>/</a:t>
            </a:r>
            <a:r>
              <a:rPr lang="zh-CN" altLang="en-US" sz="1000" b="1">
                <a:latin typeface="微软雅黑" panose="020B0503020204020204" pitchFamily="2" charset="-122"/>
                <a:ea typeface="微软雅黑" panose="020B0503020204020204" pitchFamily="2" charset="-122"/>
              </a:rPr>
              <a:t>职位发布量）</a:t>
            </a:r>
            <a:endParaRPr lang="zh-CN" altLang="en-US" sz="1000" b="1">
              <a:latin typeface="微软雅黑" panose="020B0503020204020204" pitchFamily="2" charset="-122"/>
              <a:ea typeface="微软雅黑" panose="020B0503020204020204" pitchFamily="2" charset="-122"/>
            </a:endParaRPr>
          </a:p>
        </c:rich>
      </c:tx>
      <c:layout/>
      <c:overlay val="0"/>
    </c:title>
    <c:autoTitleDeleted val="0"/>
    <c:plotArea>
      <c:layout>
        <c:manualLayout>
          <c:layoutTarget val="inner"/>
          <c:xMode val="edge"/>
          <c:yMode val="edge"/>
          <c:x val="0.0962412337481666"/>
          <c:y val="0.139867991820509"/>
          <c:w val="0.819891548371499"/>
          <c:h val="0.514383371592064"/>
        </c:manualLayout>
      </c:layout>
      <c:barChart>
        <c:barDir val="col"/>
        <c:grouping val="clustered"/>
        <c:varyColors val="0"/>
        <c:ser>
          <c:idx val="0"/>
          <c:order val="0"/>
          <c:spPr>
            <a:solidFill>
              <a:srgbClr val="1B45F6"/>
            </a:solidFill>
            <a:ln>
              <a:noFill/>
            </a:ln>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微软雅黑" panose="020B0503020204020204" pitchFamily="2" charset="-122"/>
                    <a:ea typeface="微软雅黑" panose="020B0503020204020204" pitchFamily="2" charset="-122"/>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'一、总体情况'!$B$17:$B$21</c:f>
              <c:strCache>
                <c:ptCount val="5"/>
                <c:pt idx="0">
                  <c:v>2020年Q1</c:v>
                </c:pt>
                <c:pt idx="1">
                  <c:v>2020年Q2</c:v>
                </c:pt>
                <c:pt idx="2">
                  <c:v>2020年Q3</c:v>
                </c:pt>
                <c:pt idx="3">
                  <c:v>2020年Q4</c:v>
                </c:pt>
                <c:pt idx="4">
                  <c:v>2021年Q1</c:v>
                </c:pt>
              </c:strCache>
            </c:strRef>
          </c:cat>
          <c:val>
            <c:numRef>
              <c:f>'一、总体情况'!$C$17:$C$21</c:f>
              <c:numCache>
                <c:formatCode>0.0_ </c:formatCode>
                <c:ptCount val="5"/>
                <c:pt idx="0">
                  <c:v>46.2656025179186</c:v>
                </c:pt>
                <c:pt idx="1">
                  <c:v>49.0521668583237</c:v>
                </c:pt>
                <c:pt idx="2" c:formatCode="0.0_);[Red]\(0.0\)">
                  <c:v>40.3395698347824</c:v>
                </c:pt>
                <c:pt idx="3" c:formatCode="0.0_);[Red]\(0.0\)">
                  <c:v>34.0845764450204</c:v>
                </c:pt>
                <c:pt idx="4" c:formatCode="0.0_);[Red]\(0.0\)">
                  <c:v>44.0107937493938</c:v>
                </c:pt>
              </c:numCache>
            </c:numRef>
          </c:val>
        </c:ser>
        <c:dLbls>
          <c:showLegendKey val="0"/>
          <c:showVal val="0"/>
          <c:showCatName val="0"/>
          <c:showSerName val="0"/>
          <c:showPercent val="0"/>
          <c:showBubbleSize val="0"/>
        </c:dLbls>
        <c:gapWidth val="100"/>
        <c:axId val="769183824"/>
        <c:axId val="769172400"/>
      </c:barChart>
      <c:catAx>
        <c:axId val="769183824"/>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solidFill>
                <a:latin typeface="微软雅黑" panose="020B0503020204020204" pitchFamily="2" charset="-122"/>
                <a:ea typeface="微软雅黑" panose="020B0503020204020204" pitchFamily="2" charset="-122"/>
                <a:cs typeface="+mn-cs"/>
              </a:defRPr>
            </a:pPr>
          </a:p>
        </c:txPr>
        <c:crossAx val="769172400"/>
        <c:crosses val="autoZero"/>
        <c:auto val="1"/>
        <c:lblAlgn val="ctr"/>
        <c:lblOffset val="100"/>
        <c:noMultiLvlLbl val="0"/>
      </c:catAx>
      <c:valAx>
        <c:axId val="769172400"/>
        <c:scaling>
          <c:orientation val="minMax"/>
          <c:max val="65"/>
          <c:min val="15"/>
        </c:scaling>
        <c:delete val="1"/>
        <c:axPos val="l"/>
        <c:numFmt formatCode="#,##0.00_);[Red]\(#,##0.00\)"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69183824"/>
        <c:crossesAt val="1"/>
        <c:crossBetween val="between"/>
      </c:valAx>
      <c:spPr>
        <a:noFill/>
      </c:spPr>
    </c:plotArea>
    <c:plotVisOnly val="1"/>
    <c:dispBlanksAs val="zero"/>
    <c:showDLblsOverMax val="0"/>
  </c:chart>
  <c:spPr>
    <a:noFill/>
    <a:ln w="9525" cap="flat" cmpd="sng" algn="ctr">
      <a:noFill/>
      <a:prstDash val="solid"/>
      <a:round/>
    </a:ln>
  </c:spPr>
  <c:txPr>
    <a:bodyPr/>
    <a:lstStyle/>
    <a:p>
      <a:pPr>
        <a:defRPr lang="zh-CN"/>
      </a:pPr>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lgn="r">
              <a:defRPr lang="zh-CN" sz="1400" b="1" i="0" u="none" strike="noStrike" kern="1200" baseline="0">
                <a:solidFill>
                  <a:schemeClr val="tx1"/>
                </a:solidFill>
                <a:latin typeface="微软雅黑" panose="020B0503020204020204" pitchFamily="2" charset="-122"/>
                <a:ea typeface="微软雅黑" panose="020B0503020204020204" pitchFamily="2" charset="-122"/>
                <a:cs typeface="+mn-cs"/>
              </a:defRPr>
            </a:pPr>
            <a:r>
              <a:rPr lang="en-US" altLang="zh-CN"/>
              <a:t>2021</a:t>
            </a:r>
            <a:r>
              <a:rPr lang="zh-CN" altLang="en-US"/>
              <a:t>年春季求职期不同规模企业竞争指数</a:t>
            </a:r>
            <a:endParaRPr lang="zh-CN" altLang="en-US"/>
          </a:p>
          <a:p>
            <a:pPr algn="r">
              <a:defRPr lang="zh-CN" sz="1400" b="1" i="0" u="none" strike="noStrike" kern="1200" baseline="0">
                <a:solidFill>
                  <a:schemeClr val="tx1"/>
                </a:solidFill>
                <a:latin typeface="微软雅黑" panose="020B0503020204020204" pitchFamily="2" charset="-122"/>
                <a:ea typeface="微软雅黑" panose="020B0503020204020204" pitchFamily="2" charset="-122"/>
                <a:cs typeface="+mn-cs"/>
              </a:defRPr>
            </a:pPr>
            <a:r>
              <a:rPr lang="zh-CN" altLang="en-US" sz="1200"/>
              <a:t>（注：竞争指数＝简历投递量</a:t>
            </a:r>
            <a:r>
              <a:rPr lang="en-US" altLang="zh-CN" sz="1200"/>
              <a:t>/</a:t>
            </a:r>
            <a:r>
              <a:rPr lang="zh-CN" altLang="en-US" sz="1200"/>
              <a:t>职位发布量）</a:t>
            </a:r>
            <a:endParaRPr lang="zh-CN" altLang="en-US" sz="1200"/>
          </a:p>
        </c:rich>
      </c:tx>
      <c:layout/>
      <c:overlay val="0"/>
    </c:title>
    <c:autoTitleDeleted val="0"/>
    <c:plotArea>
      <c:layout>
        <c:manualLayout>
          <c:layoutTarget val="inner"/>
          <c:xMode val="edge"/>
          <c:yMode val="edge"/>
          <c:x val="0.0962412337481666"/>
          <c:y val="0.218237849579147"/>
          <c:w val="0.819891548371499"/>
          <c:h val="0.436013378421741"/>
        </c:manualLayout>
      </c:layout>
      <c:barChart>
        <c:barDir val="col"/>
        <c:grouping val="clustered"/>
        <c:varyColors val="0"/>
        <c:ser>
          <c:idx val="0"/>
          <c:order val="0"/>
          <c:spPr>
            <a:solidFill>
              <a:srgbClr val="1B45F6"/>
            </a:solidFill>
            <a:ln>
              <a:noFill/>
            </a:ln>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微软雅黑" panose="020B0503020204020204" pitchFamily="2" charset="-122"/>
                    <a:ea typeface="微软雅黑" panose="020B0503020204020204" pitchFamily="2" charset="-122"/>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'一、总体情况'!$A$52:$A$57</c:f>
              <c:strCache>
                <c:ptCount val="6"/>
                <c:pt idx="0">
                  <c:v>20人以下</c:v>
                </c:pt>
                <c:pt idx="1">
                  <c:v>20-99人</c:v>
                </c:pt>
                <c:pt idx="2">
                  <c:v>100-499人</c:v>
                </c:pt>
                <c:pt idx="3">
                  <c:v>500-999人</c:v>
                </c:pt>
                <c:pt idx="4">
                  <c:v>1000-9999人</c:v>
                </c:pt>
                <c:pt idx="5">
                  <c:v>10000人以上</c:v>
                </c:pt>
              </c:strCache>
            </c:strRef>
          </c:cat>
          <c:val>
            <c:numRef>
              <c:f>'一、总体情况'!$D$52:$D$57</c:f>
              <c:numCache>
                <c:formatCode>0.0_ </c:formatCode>
                <c:ptCount val="6"/>
                <c:pt idx="0">
                  <c:v>31.1086354083727</c:v>
                </c:pt>
                <c:pt idx="1">
                  <c:v>36.2955469283725</c:v>
                </c:pt>
                <c:pt idx="2">
                  <c:v>43.4342863428559</c:v>
                </c:pt>
                <c:pt idx="3">
                  <c:v>49.8597834102913</c:v>
                </c:pt>
                <c:pt idx="4">
                  <c:v>57.9946045230946</c:v>
                </c:pt>
                <c:pt idx="5">
                  <c:v>60.1327667257582</c:v>
                </c:pt>
              </c:numCache>
            </c:numRef>
          </c:val>
        </c:ser>
        <c:dLbls>
          <c:showLegendKey val="0"/>
          <c:showVal val="0"/>
          <c:showCatName val="0"/>
          <c:showSerName val="0"/>
          <c:showPercent val="0"/>
          <c:showBubbleSize val="0"/>
        </c:dLbls>
        <c:gapWidth val="100"/>
        <c:axId val="769178928"/>
        <c:axId val="769181648"/>
      </c:barChart>
      <c:catAx>
        <c:axId val="769178928"/>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solidFill>
                <a:latin typeface="微软雅黑" panose="020B0503020204020204" pitchFamily="2" charset="-122"/>
                <a:ea typeface="微软雅黑" panose="020B0503020204020204" pitchFamily="2" charset="-122"/>
                <a:cs typeface="+mn-cs"/>
              </a:defRPr>
            </a:pPr>
          </a:p>
        </c:txPr>
        <c:crossAx val="769181648"/>
        <c:crosses val="autoZero"/>
        <c:auto val="1"/>
        <c:lblAlgn val="ctr"/>
        <c:lblOffset val="100"/>
        <c:noMultiLvlLbl val="0"/>
      </c:catAx>
      <c:valAx>
        <c:axId val="769181648"/>
        <c:scaling>
          <c:orientation val="minMax"/>
          <c:max val="65"/>
          <c:min val="15"/>
        </c:scaling>
        <c:delete val="1"/>
        <c:axPos val="l"/>
        <c:numFmt formatCode="#,##0.00_);[Red]\(#,##0.00\)"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69178928"/>
        <c:crossesAt val="1"/>
        <c:crossBetween val="between"/>
      </c:valAx>
      <c:spPr>
        <a:noFill/>
      </c:spPr>
    </c:plotArea>
    <c:plotVisOnly val="1"/>
    <c:dispBlanksAs val="zero"/>
    <c:showDLblsOverMax val="0"/>
  </c:chart>
  <c:spPr>
    <a:noFill/>
    <a:ln w="9525" cap="flat" cmpd="sng" algn="ctr">
      <a:noFill/>
      <a:prstDash val="solid"/>
      <a:round/>
    </a:ln>
  </c:spPr>
  <c:txPr>
    <a:bodyPr/>
    <a:lstStyle/>
    <a:p>
      <a:pPr>
        <a:defRPr lang="zh-CN"/>
      </a:pPr>
    </a:p>
  </c:txPr>
  <c:externalData r:id="rId1">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lgn="r">
              <a:defRPr lang="zh-CN" sz="1400" b="1" i="0" u="none" strike="noStrike" kern="1200" baseline="0">
                <a:solidFill>
                  <a:schemeClr val="tx1"/>
                </a:solidFill>
                <a:latin typeface="微软雅黑" panose="020B0503020204020204" pitchFamily="2" charset="-122"/>
                <a:ea typeface="微软雅黑" panose="020B0503020204020204" pitchFamily="2" charset="-122"/>
                <a:cs typeface="+mn-cs"/>
              </a:defRPr>
            </a:pPr>
            <a:r>
              <a:rPr lang="en-US" altLang="zh-CN" sz="1200" b="1" i="0" baseline="0">
                <a:effectLst/>
              </a:rPr>
              <a:t>2021</a:t>
            </a:r>
            <a:r>
              <a:rPr lang="zh-CN" altLang="zh-CN" sz="1200" b="1" i="0" baseline="0">
                <a:effectLst/>
              </a:rPr>
              <a:t>年</a:t>
            </a:r>
            <a:r>
              <a:rPr lang="zh-CN" altLang="en-US" sz="1200" b="1" i="0" baseline="0">
                <a:effectLst/>
              </a:rPr>
              <a:t>春</a:t>
            </a:r>
            <a:r>
              <a:rPr lang="zh-CN" altLang="zh-CN" sz="1200" b="1" i="0" baseline="0">
                <a:effectLst/>
              </a:rPr>
              <a:t>季求职期不同性质企业竞争指数排行榜</a:t>
            </a:r>
            <a:endParaRPr lang="zh-CN" altLang="zh-CN" sz="1050">
              <a:effectLst/>
            </a:endParaRPr>
          </a:p>
          <a:p>
            <a:pPr algn="r">
              <a:defRPr lang="zh-CN" sz="1400" b="1" i="0" u="none" strike="noStrike" kern="1200" baseline="0">
                <a:solidFill>
                  <a:schemeClr val="tx1"/>
                </a:solidFill>
                <a:latin typeface="微软雅黑" panose="020B0503020204020204" pitchFamily="2" charset="-122"/>
                <a:ea typeface="微软雅黑" panose="020B0503020204020204" pitchFamily="2" charset="-122"/>
                <a:cs typeface="+mn-cs"/>
              </a:defRPr>
            </a:pPr>
            <a:r>
              <a:rPr lang="zh-CN" altLang="zh-CN" sz="1200" b="1" i="0" baseline="0">
                <a:effectLst/>
              </a:rPr>
              <a:t>（注：竞争指数＝简历投递量</a:t>
            </a:r>
            <a:r>
              <a:rPr lang="en-US" altLang="zh-CN" sz="1200" b="1" i="0" baseline="0">
                <a:effectLst/>
              </a:rPr>
              <a:t>/</a:t>
            </a:r>
            <a:r>
              <a:rPr lang="zh-CN" altLang="zh-CN" sz="1200" b="1" i="0" baseline="0">
                <a:effectLst/>
              </a:rPr>
              <a:t>职位发布量）</a:t>
            </a:r>
            <a:endParaRPr lang="zh-CN" altLang="zh-CN" sz="1050">
              <a:effectLst/>
            </a:endParaRPr>
          </a:p>
        </c:rich>
      </c:tx>
      <c:layout>
        <c:manualLayout>
          <c:xMode val="edge"/>
          <c:yMode val="edge"/>
          <c:x val="0.199086757990868"/>
          <c:y val="0"/>
        </c:manualLayout>
      </c:layout>
      <c:overlay val="0"/>
    </c:title>
    <c:autoTitleDeleted val="0"/>
    <c:plotArea>
      <c:layout>
        <c:manualLayout>
          <c:layoutTarget val="inner"/>
          <c:xMode val="edge"/>
          <c:yMode val="edge"/>
          <c:x val="0.0962412337481666"/>
          <c:y val="0.165636363372856"/>
          <c:w val="0.819891548371499"/>
          <c:h val="0.48861477903335"/>
        </c:manualLayout>
      </c:layout>
      <c:barChart>
        <c:barDir val="col"/>
        <c:grouping val="clustered"/>
        <c:varyColors val="0"/>
        <c:ser>
          <c:idx val="0"/>
          <c:order val="0"/>
          <c:spPr>
            <a:solidFill>
              <a:srgbClr val="1B45F6"/>
            </a:solidFill>
            <a:ln>
              <a:noFill/>
            </a:ln>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微软雅黑" panose="020B0503020204020204" pitchFamily="2" charset="-122"/>
                    <a:ea typeface="微软雅黑" panose="020B0503020204020204" pitchFamily="2" charset="-122"/>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'一、总体情况'!$E$33:$E$38</c:f>
              <c:strCache>
                <c:ptCount val="6"/>
                <c:pt idx="0">
                  <c:v>国企</c:v>
                </c:pt>
                <c:pt idx="1">
                  <c:v>上市公司</c:v>
                </c:pt>
                <c:pt idx="2">
                  <c:v>合资</c:v>
                </c:pt>
                <c:pt idx="3">
                  <c:v>民营</c:v>
                </c:pt>
                <c:pt idx="4">
                  <c:v>外商独资</c:v>
                </c:pt>
                <c:pt idx="5">
                  <c:v>股份制企业</c:v>
                </c:pt>
              </c:strCache>
            </c:strRef>
          </c:cat>
          <c:val>
            <c:numRef>
              <c:f>'一、总体情况'!$F$33:$F$38</c:f>
              <c:numCache>
                <c:formatCode>_(* #,##0.0_);_(* \(#,##0.0\);_(* "-"??_);_(@_)</c:formatCode>
                <c:ptCount val="6"/>
                <c:pt idx="0">
                  <c:v>73.0961062520432</c:v>
                </c:pt>
                <c:pt idx="1">
                  <c:v>51.4639101793923</c:v>
                </c:pt>
                <c:pt idx="2">
                  <c:v>42.8734719743358</c:v>
                </c:pt>
                <c:pt idx="3">
                  <c:v>42.2199706579976</c:v>
                </c:pt>
                <c:pt idx="4">
                  <c:v>41.5745141523902</c:v>
                </c:pt>
                <c:pt idx="5">
                  <c:v>38.9883690320165</c:v>
                </c:pt>
              </c:numCache>
            </c:numRef>
          </c:val>
        </c:ser>
        <c:dLbls>
          <c:showLegendKey val="0"/>
          <c:showVal val="0"/>
          <c:showCatName val="0"/>
          <c:showSerName val="0"/>
          <c:showPercent val="0"/>
          <c:showBubbleSize val="0"/>
        </c:dLbls>
        <c:gapWidth val="100"/>
        <c:axId val="769175664"/>
        <c:axId val="769174576"/>
      </c:barChart>
      <c:catAx>
        <c:axId val="769175664"/>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solidFill>
                <a:latin typeface="微软雅黑" panose="020B0503020204020204" pitchFamily="2" charset="-122"/>
                <a:ea typeface="微软雅黑" panose="020B0503020204020204" pitchFamily="2" charset="-122"/>
                <a:cs typeface="+mn-cs"/>
              </a:defRPr>
            </a:pPr>
          </a:p>
        </c:txPr>
        <c:crossAx val="769174576"/>
        <c:crosses val="autoZero"/>
        <c:auto val="1"/>
        <c:lblAlgn val="ctr"/>
        <c:lblOffset val="100"/>
        <c:noMultiLvlLbl val="0"/>
      </c:catAx>
      <c:valAx>
        <c:axId val="769174576"/>
        <c:scaling>
          <c:orientation val="minMax"/>
          <c:max val="80"/>
          <c:min val="15"/>
        </c:scaling>
        <c:delete val="1"/>
        <c:axPos val="l"/>
        <c:numFmt formatCode="#,##0.00_);[Red]\(#,##0.00\)"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69175664"/>
        <c:crossesAt val="1"/>
        <c:crossBetween val="between"/>
      </c:valAx>
      <c:spPr>
        <a:noFill/>
      </c:spPr>
    </c:plotArea>
    <c:plotVisOnly val="1"/>
    <c:dispBlanksAs val="zero"/>
    <c:showDLblsOverMax val="0"/>
  </c:chart>
  <c:spPr>
    <a:noFill/>
    <a:ln w="9525" cap="flat" cmpd="sng" algn="ctr">
      <a:noFill/>
      <a:prstDash val="solid"/>
      <a:round/>
    </a:ln>
  </c:spPr>
  <c:txPr>
    <a:bodyPr/>
    <a:lstStyle/>
    <a:p>
      <a:pPr>
        <a:defRPr lang="zh-CN"/>
      </a:pPr>
    </a:p>
  </c:txPr>
  <c:externalData r:id="rId1">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0" vertOverflow="ellipsis" vert="horz" wrap="square" anchor="ctr" anchorCtr="1"/>
          <a:lstStyle/>
          <a:p>
            <a:pPr algn="r">
              <a:defRPr lang="zh-CN" sz="1400" b="1" i="0" u="none" strike="noStrike" kern="1200" baseline="0">
                <a:solidFill>
                  <a:schemeClr val="tx1"/>
                </a:solidFill>
                <a:latin typeface="微软雅黑" panose="020B0503020204020204" pitchFamily="2" charset="-122"/>
                <a:ea typeface="微软雅黑" panose="020B0503020204020204" pitchFamily="2" charset="-122"/>
                <a:cs typeface="+mn-cs"/>
              </a:defRPr>
            </a:pPr>
            <a:r>
              <a:rPr lang="zh-CN" altLang="zh-CN" sz="1400" b="1" i="0" u="none" strike="noStrike" baseline="0">
                <a:effectLst/>
              </a:rPr>
              <a:t>过去一年</a:t>
            </a:r>
            <a:r>
              <a:rPr lang="zh-CN" altLang="en-US" sz="1400" b="1">
                <a:latin typeface="微软雅黑" panose="020B0503020204020204" pitchFamily="2" charset="-122"/>
                <a:ea typeface="微软雅黑" panose="020B0503020204020204" pitchFamily="2" charset="-122"/>
              </a:rPr>
              <a:t>全国平均薪酬比较</a:t>
            </a:r>
            <a:endParaRPr lang="zh-CN" altLang="en-US" sz="1400" b="1">
              <a:latin typeface="微软雅黑" panose="020B0503020204020204" pitchFamily="2" charset="-122"/>
              <a:ea typeface="微软雅黑" panose="020B0503020204020204" pitchFamily="2" charset="-122"/>
            </a:endParaRPr>
          </a:p>
        </c:rich>
      </c:tx>
      <c:layout/>
      <c:overlay val="0"/>
    </c:title>
    <c:autoTitleDeleted val="0"/>
    <c:plotArea>
      <c:layout>
        <c:manualLayout>
          <c:layoutTarget val="inner"/>
          <c:xMode val="edge"/>
          <c:yMode val="edge"/>
          <c:x val="0.0867548682495471"/>
          <c:y val="0.251080516648098"/>
          <c:w val="0.819891548371499"/>
          <c:h val="0.46260773918149"/>
        </c:manualLayout>
      </c:layout>
      <c:barChart>
        <c:barDir val="col"/>
        <c:grouping val="clustered"/>
        <c:varyColors val="0"/>
        <c:ser>
          <c:idx val="0"/>
          <c:order val="0"/>
          <c:tx>
            <c:strRef>
              <c:f>'五、薪酬'!$C$4</c:f>
              <c:strCache>
                <c:ptCount val="1"/>
                <c:pt idx="0">
                  <c:v>全国平均薪酬</c:v>
                </c:pt>
              </c:strCache>
            </c:strRef>
          </c:tx>
          <c:spPr>
            <a:solidFill>
              <a:srgbClr val="1B45F6"/>
            </a:solidFill>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bg1"/>
                    </a:solidFill>
                    <a:latin typeface="微软雅黑" panose="020B0503020204020204" pitchFamily="2" charset="-122"/>
                    <a:ea typeface="微软雅黑" panose="020B0503020204020204" pitchFamily="2" charset="-122"/>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'五、薪酬'!$B$18:$B$22</c:f>
              <c:strCache>
                <c:ptCount val="5"/>
                <c:pt idx="0">
                  <c:v>2020年Q1</c:v>
                </c:pt>
                <c:pt idx="1">
                  <c:v>2020年Q2</c:v>
                </c:pt>
                <c:pt idx="2">
                  <c:v>2020年Q3</c:v>
                </c:pt>
                <c:pt idx="3">
                  <c:v>2020年Q4</c:v>
                </c:pt>
                <c:pt idx="4">
                  <c:v>2021年Q1</c:v>
                </c:pt>
              </c:strCache>
            </c:strRef>
          </c:cat>
          <c:val>
            <c:numRef>
              <c:f>'五、薪酬'!$C$18:$C$22</c:f>
              <c:numCache>
                <c:formatCode>0_);[Red]\(0\)</c:formatCode>
                <c:ptCount val="5"/>
                <c:pt idx="0">
                  <c:v>8821.31434029252</c:v>
                </c:pt>
                <c:pt idx="1">
                  <c:v>8715.28511228819</c:v>
                </c:pt>
                <c:pt idx="2">
                  <c:v>8688.06229222659</c:v>
                </c:pt>
                <c:pt idx="3">
                  <c:v>8923</c:v>
                </c:pt>
                <c:pt idx="4">
                  <c:v>9059.455</c:v>
                </c:pt>
              </c:numCache>
            </c:numRef>
          </c:val>
        </c:ser>
        <c:dLbls>
          <c:showLegendKey val="0"/>
          <c:showVal val="0"/>
          <c:showCatName val="0"/>
          <c:showSerName val="0"/>
          <c:showPercent val="0"/>
          <c:showBubbleSize val="0"/>
        </c:dLbls>
        <c:gapWidth val="100"/>
        <c:axId val="769184368"/>
        <c:axId val="769186000"/>
      </c:barChart>
      <c:lineChart>
        <c:grouping val="standard"/>
        <c:varyColors val="0"/>
        <c:ser>
          <c:idx val="1"/>
          <c:order val="1"/>
          <c:tx>
            <c:strRef>
              <c:f>'五、薪酬'!$D$4</c:f>
              <c:strCache>
                <c:ptCount val="1"/>
                <c:pt idx="0">
                  <c:v>环比</c:v>
                </c:pt>
              </c:strCache>
            </c:strRef>
          </c:tx>
          <c:spPr>
            <a:ln w="28575" cap="rnd" cmpd="sng" algn="ctr">
              <a:solidFill>
                <a:srgbClr val="FDD000"/>
              </a:solidFill>
              <a:prstDash val="solid"/>
              <a:round/>
            </a:ln>
          </c:spPr>
          <c:marker>
            <c:symbol val="circle"/>
            <c:size val="7"/>
            <c:spPr>
              <a:solidFill>
                <a:srgbClr val="FDD000"/>
              </a:solidFill>
              <a:ln w="9525" cap="flat" cmpd="sng" algn="ctr">
                <a:solidFill>
                  <a:srgbClr val="FDD000"/>
                </a:solidFill>
                <a:prstDash val="solid"/>
                <a:round/>
              </a:ln>
            </c:spPr>
          </c:marker>
          <c:dLbls>
            <c:dLbl>
              <c:idx val="0"/>
              <c:layout>
                <c:manualLayout>
                  <c:x val="-0.0443248410544356"/>
                  <c:y val="-0.0474768003200011"/>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443248410544356"/>
                  <c:y val="-0.044085600297143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396621396423086"/>
                  <c:y val="-0.050541530612448"/>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微软雅黑" panose="020B0503020204020204" pitchFamily="2" charset="-122"/>
                    <a:ea typeface="微软雅黑" panose="020B0503020204020204" pitchFamily="2" charset="-122"/>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'五、薪酬'!$B$18:$B$22</c:f>
              <c:strCache>
                <c:ptCount val="5"/>
                <c:pt idx="0">
                  <c:v>2020年Q1</c:v>
                </c:pt>
                <c:pt idx="1">
                  <c:v>2020年Q2</c:v>
                </c:pt>
                <c:pt idx="2">
                  <c:v>2020年Q3</c:v>
                </c:pt>
                <c:pt idx="3">
                  <c:v>2020年Q4</c:v>
                </c:pt>
                <c:pt idx="4">
                  <c:v>2021年Q1</c:v>
                </c:pt>
              </c:strCache>
            </c:strRef>
          </c:cat>
          <c:val>
            <c:numRef>
              <c:f>'五、薪酬'!$D$18:$D$22</c:f>
              <c:numCache>
                <c:formatCode>0.0%</c:formatCode>
                <c:ptCount val="5"/>
                <c:pt idx="0">
                  <c:v>-0.000909597919134221</c:v>
                </c:pt>
                <c:pt idx="1">
                  <c:v>-0.0120196632739899</c:v>
                </c:pt>
                <c:pt idx="2">
                  <c:v>-0.00312357194410268</c:v>
                </c:pt>
                <c:pt idx="3">
                  <c:v>0.027</c:v>
                </c:pt>
                <c:pt idx="4">
                  <c:v>0.0152925025215735</c:v>
                </c:pt>
              </c:numCache>
            </c:numRef>
          </c:val>
          <c:smooth val="0"/>
        </c:ser>
        <c:dLbls>
          <c:showLegendKey val="0"/>
          <c:showVal val="0"/>
          <c:showCatName val="0"/>
          <c:showSerName val="0"/>
          <c:showPercent val="0"/>
          <c:showBubbleSize val="0"/>
        </c:dLbls>
        <c:marker val="1"/>
        <c:smooth val="0"/>
        <c:axId val="769179472"/>
        <c:axId val="769186544"/>
      </c:lineChart>
      <c:catAx>
        <c:axId val="769184368"/>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solidFill>
                <a:latin typeface="微软雅黑" panose="020B0503020204020204" pitchFamily="2" charset="-122"/>
                <a:ea typeface="微软雅黑" panose="020B0503020204020204" pitchFamily="2" charset="-122"/>
                <a:cs typeface="+mn-cs"/>
              </a:defRPr>
            </a:pPr>
          </a:p>
        </c:txPr>
        <c:crossAx val="769186000"/>
        <c:crosses val="autoZero"/>
        <c:auto val="1"/>
        <c:lblAlgn val="ctr"/>
        <c:lblOffset val="100"/>
        <c:noMultiLvlLbl val="0"/>
      </c:catAx>
      <c:valAx>
        <c:axId val="769186000"/>
        <c:scaling>
          <c:orientation val="minMax"/>
          <c:min val="6000"/>
        </c:scaling>
        <c:delete val="0"/>
        <c:axPos val="l"/>
        <c:title>
          <c:tx>
            <c:rich>
              <a:bodyPr rot="0" spcFirstLastPara="0" vertOverflow="ellipsis" vert="eaVert" wrap="square" anchor="ctr" anchorCtr="1"/>
              <a:lstStyle/>
              <a:p>
                <a:pPr>
                  <a:defRPr lang="zh-CN" sz="1000" b="1" i="0" u="none" strike="noStrike" kern="1200" baseline="0">
                    <a:solidFill>
                      <a:schemeClr val="tx1"/>
                    </a:solidFill>
                    <a:latin typeface="+mn-lt"/>
                    <a:ea typeface="+mn-ea"/>
                    <a:cs typeface="+mn-cs"/>
                  </a:defRPr>
                </a:pPr>
                <a:r>
                  <a:rPr lang="zh-CN" altLang="en-US" b="0">
                    <a:latin typeface="微软雅黑" panose="020B0503020204020204" pitchFamily="2" charset="-122"/>
                    <a:ea typeface="微软雅黑" panose="020B0503020204020204" pitchFamily="2" charset="-122"/>
                  </a:rPr>
                  <a:t>单位：元</a:t>
                </a:r>
                <a:r>
                  <a:rPr lang="en-US" altLang="zh-CN" b="0">
                    <a:latin typeface="微软雅黑" panose="020B0503020204020204" pitchFamily="2" charset="-122"/>
                    <a:ea typeface="微软雅黑" panose="020B0503020204020204" pitchFamily="2" charset="-122"/>
                  </a:rPr>
                  <a:t>/</a:t>
                </a:r>
                <a:r>
                  <a:rPr lang="zh-CN" altLang="en-US" b="0">
                    <a:latin typeface="微软雅黑" panose="020B0503020204020204" pitchFamily="2" charset="-122"/>
                    <a:ea typeface="微软雅黑" panose="020B0503020204020204" pitchFamily="2" charset="-122"/>
                  </a:rPr>
                  <a:t>月</a:t>
                </a:r>
                <a:endParaRPr lang="zh-CN" altLang="en-US" b="0">
                  <a:latin typeface="微软雅黑" panose="020B0503020204020204" pitchFamily="2" charset="-122"/>
                  <a:ea typeface="微软雅黑" panose="020B0503020204020204" pitchFamily="2" charset="-122"/>
                </a:endParaRPr>
              </a:p>
            </c:rich>
          </c:tx>
          <c:layout>
            <c:manualLayout>
              <c:xMode val="edge"/>
              <c:yMode val="edge"/>
              <c:x val="0.0359726141116484"/>
              <c:y val="0.145756488468139"/>
            </c:manualLayout>
          </c:layout>
          <c:overlay val="0"/>
        </c:title>
        <c:numFmt formatCode="#,##0.00_);[Red]\(#,##0.00\)" sourceLinked="0"/>
        <c:majorTickMark val="none"/>
        <c:minorTickMark val="none"/>
        <c:tickLblPos val="none"/>
        <c:spPr>
          <a:ln w="9525" cap="flat" cmpd="sng" algn="ctr">
            <a:no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69184368"/>
        <c:crossesAt val="1"/>
        <c:crossBetween val="between"/>
      </c:valAx>
      <c:catAx>
        <c:axId val="769179472"/>
        <c:scaling>
          <c:orientation val="minMax"/>
        </c:scaling>
        <c:delete val="1"/>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69186544"/>
        <c:crosses val="autoZero"/>
        <c:auto val="1"/>
        <c:lblAlgn val="ctr"/>
        <c:lblOffset val="100"/>
        <c:noMultiLvlLbl val="0"/>
      </c:catAx>
      <c:valAx>
        <c:axId val="769186544"/>
        <c:scaling>
          <c:orientation val="minMax"/>
          <c:max val="0.05"/>
          <c:min val="-0.4"/>
        </c:scaling>
        <c:delete val="0"/>
        <c:axPos val="r"/>
        <c:numFmt formatCode="0.0%" sourceLinked="1"/>
        <c:majorTickMark val="none"/>
        <c:minorTickMark val="none"/>
        <c:tickLblPos val="none"/>
        <c:spPr>
          <a:ln w="9525" cap="flat" cmpd="sng" algn="ctr">
            <a:no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69179472"/>
        <c:crosses val="max"/>
        <c:crossBetween val="between"/>
        <c:majorUnit val="0.01"/>
      </c:valAx>
      <c:spPr>
        <a:noFill/>
      </c:spPr>
    </c:plotArea>
    <c:legend>
      <c:legendPos val="t"/>
      <c:layout>
        <c:manualLayout>
          <c:xMode val="edge"/>
          <c:yMode val="edge"/>
          <c:x val="0.290083861817016"/>
          <c:y val="0.109122798578058"/>
          <c:w val="0.45809139516668"/>
          <c:h val="0.0624758372178416"/>
        </c:manualLayout>
      </c:layout>
      <c:overlay val="0"/>
      <c:txPr>
        <a:bodyPr rot="0" spcFirstLastPara="0" vertOverflow="ellipsis" vert="horz" wrap="square" anchor="ctr" anchorCtr="1"/>
        <a:lstStyle/>
        <a:p>
          <a:pPr>
            <a:defRPr lang="zh-CN" sz="900" b="0" i="0" u="none" strike="noStrike" kern="1200" baseline="0">
              <a:solidFill>
                <a:schemeClr val="tx1"/>
              </a:solidFill>
              <a:latin typeface="微软雅黑" panose="020B0503020204020204" pitchFamily="2" charset="-122"/>
              <a:ea typeface="微软雅黑" panose="020B0503020204020204" pitchFamily="2" charset="-122"/>
              <a:cs typeface="+mn-cs"/>
            </a:defRPr>
          </a:pPr>
        </a:p>
      </c:txPr>
    </c:legend>
    <c:plotVisOnly val="1"/>
    <c:dispBlanksAs val="zero"/>
    <c:showDLblsOverMax val="0"/>
  </c:chart>
  <c:spPr>
    <a:noFill/>
    <a:ln w="9525" cap="flat" cmpd="sng" algn="ctr">
      <a:noFill/>
      <a:prstDash val="solid"/>
      <a:round/>
    </a:ln>
  </c:spPr>
  <c:txPr>
    <a:bodyPr/>
    <a:lstStyle/>
    <a:p>
      <a:pPr>
        <a:defRPr lang="zh-CN"/>
      </a:pPr>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1200" b="1" i="0" u="none" strike="noStrike" kern="1200" baseline="0">
                <a:solidFill>
                  <a:schemeClr val="tx1"/>
                </a:solidFill>
                <a:latin typeface="微软雅黑" panose="020B0503020204020204" pitchFamily="2" charset="-122"/>
                <a:ea typeface="微软雅黑" panose="020B0503020204020204" pitchFamily="2" charset="-122"/>
                <a:cs typeface="+mn-cs"/>
              </a:defRPr>
            </a:pPr>
            <a:r>
              <a:rPr lang="en-US" altLang="zh-CN"/>
              <a:t>2021</a:t>
            </a:r>
            <a:r>
              <a:rPr lang="zh-CN" altLang="en-US"/>
              <a:t>年春季求职期平均薪酬分布情况</a:t>
            </a:r>
            <a:endParaRPr lang="zh-CN" altLang="en-US"/>
          </a:p>
        </c:rich>
      </c:tx>
      <c:layout/>
      <c:overlay val="0"/>
      <c:spPr>
        <a:noFill/>
        <a:ln>
          <a:noFill/>
        </a:ln>
        <a:effectLst/>
      </c:spPr>
    </c:title>
    <c:autoTitleDeleted val="0"/>
    <c:plotArea>
      <c:layout>
        <c:manualLayout>
          <c:layoutTarget val="inner"/>
          <c:xMode val="edge"/>
          <c:yMode val="edge"/>
          <c:x val="0.305298358789489"/>
          <c:y val="0.217743853446891"/>
          <c:w val="0.371164595389432"/>
          <c:h val="0.523922813219776"/>
        </c:manualLayout>
      </c:layout>
      <c:pieChart>
        <c:varyColors val="1"/>
        <c:ser>
          <c:idx val="0"/>
          <c:order val="0"/>
          <c:explosion val="1"/>
          <c:dPt>
            <c:idx val="0"/>
            <c:bubble3D val="0"/>
            <c:spPr>
              <a:solidFill>
                <a:srgbClr val="0038EE">
                  <a:alpha val="40000"/>
                </a:srgbClr>
              </a:solidFill>
              <a:ln>
                <a:noFill/>
              </a:ln>
              <a:effectLst/>
            </c:spPr>
          </c:dPt>
          <c:dPt>
            <c:idx val="1"/>
            <c:bubble3D val="0"/>
            <c:spPr>
              <a:solidFill>
                <a:srgbClr val="0038EE">
                  <a:alpha val="55000"/>
                </a:srgbClr>
              </a:solidFill>
              <a:ln>
                <a:noFill/>
              </a:ln>
              <a:effectLst/>
            </c:spPr>
          </c:dPt>
          <c:dPt>
            <c:idx val="2"/>
            <c:bubble3D val="0"/>
            <c:spPr>
              <a:solidFill>
                <a:srgbClr val="0038EE">
                  <a:alpha val="70000"/>
                </a:srgbClr>
              </a:solidFill>
              <a:ln>
                <a:noFill/>
              </a:ln>
              <a:effectLst/>
            </c:spPr>
          </c:dPt>
          <c:dPt>
            <c:idx val="3"/>
            <c:bubble3D val="0"/>
            <c:spPr>
              <a:solidFill>
                <a:srgbClr val="0038EE">
                  <a:alpha val="85000"/>
                </a:srgbClr>
              </a:solidFill>
              <a:ln>
                <a:noFill/>
              </a:ln>
              <a:effectLst/>
            </c:spPr>
          </c:dPt>
          <c:dPt>
            <c:idx val="4"/>
            <c:bubble3D val="0"/>
            <c:spPr>
              <a:solidFill>
                <a:srgbClr val="0038EE"/>
              </a:solidFill>
              <a:ln>
                <a:noFill/>
              </a:ln>
              <a:effectLst/>
            </c:spPr>
          </c:dPt>
          <c:dLbls>
            <c:dLbl>
              <c:idx val="0"/>
              <c:layout>
                <c:manualLayout>
                  <c:x val="-0.0578313253012048"/>
                  <c:y val="0"/>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1"/>
              <c:layout>
                <c:manualLayout>
                  <c:x val="0.0602409638554217"/>
                  <c:y val="-3.11787781420898e-17"/>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solidFill>
                    <a:latin typeface="微软雅黑" panose="020B0503020204020204" pitchFamily="2" charset="-122"/>
                    <a:ea typeface="微软雅黑" panose="020B0503020204020204" pitchFamily="2" charset="-122"/>
                    <a:cs typeface="+mn-cs"/>
                  </a:defRPr>
                </a:pPr>
              </a:p>
            </c:txPr>
            <c:dLblPos val="outEnd"/>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6350" cap="flat" cmpd="sng" algn="ctr">
                      <a:solidFill>
                        <a:schemeClr val="tx1"/>
                      </a:solidFill>
                      <a:prstDash val="solid"/>
                      <a:round/>
                    </a:ln>
                    <a:effectLst/>
                  </c:spPr>
                </c15:leaderLines>
              </c:ext>
            </c:extLst>
          </c:dLbls>
          <c:cat>
            <c:strRef>
              <c:f>'五、薪酬'!$B$25:$B$29</c:f>
              <c:strCache>
                <c:ptCount val="5"/>
                <c:pt idx="0">
                  <c:v>&lt;=2000</c:v>
                </c:pt>
                <c:pt idx="1">
                  <c:v>2001-4000</c:v>
                </c:pt>
                <c:pt idx="2">
                  <c:v>4001-6000</c:v>
                </c:pt>
                <c:pt idx="3">
                  <c:v>6001-8000</c:v>
                </c:pt>
                <c:pt idx="4">
                  <c:v>&gt;8000</c:v>
                </c:pt>
              </c:strCache>
            </c:strRef>
          </c:cat>
          <c:val>
            <c:numRef>
              <c:f>'五、薪酬'!$D$25:$D$29</c:f>
              <c:numCache>
                <c:formatCode>0.0%</c:formatCode>
                <c:ptCount val="5"/>
                <c:pt idx="0">
                  <c:v>0.0047</c:v>
                </c:pt>
                <c:pt idx="1">
                  <c:v>0.0682</c:v>
                </c:pt>
                <c:pt idx="2">
                  <c:v>0.2603</c:v>
                </c:pt>
                <c:pt idx="3">
                  <c:v>0.2315</c:v>
                </c:pt>
                <c:pt idx="4">
                  <c:v>0.4353</c:v>
                </c:pt>
              </c:numCache>
            </c:numRef>
          </c:val>
        </c:ser>
        <c:dLbls>
          <c:showLegendKey val="0"/>
          <c:showVal val="0"/>
          <c:showCatName val="0"/>
          <c:showSerName val="0"/>
          <c:showPercent val="0"/>
          <c:showBubbleSize val="0"/>
          <c:showLeaderLines val="1"/>
        </c:dLbls>
        <c:firstSliceAng val="0"/>
      </c:pieChart>
      <c:spPr>
        <a:noFill/>
        <a:ln w="25400">
          <a:noFill/>
        </a:ln>
        <a:effectLst/>
      </c:spPr>
    </c:plotArea>
    <c:plotVisOnly val="1"/>
    <c:dispBlanksAs val="gap"/>
    <c:showDLblsOverMax val="0"/>
  </c:chart>
  <c:spPr>
    <a:noFill/>
    <a:ln w="6350" cap="flat" cmpd="sng" algn="ctr">
      <a:noFill/>
      <a:prstDash val="solid"/>
      <a:round/>
    </a:ln>
    <a:effectLst/>
  </c:spPr>
  <c:txPr>
    <a:bodyPr/>
    <a:lstStyle/>
    <a:p>
      <a:pPr>
        <a:defRPr lang="zh-CN" baseline="0">
          <a:latin typeface="微软雅黑" panose="020B0503020204020204" pitchFamily="2" charset="-122"/>
          <a:ea typeface="微软雅黑" panose="020B0503020204020204" pitchFamily="2" charset="-122"/>
        </a:defRPr>
      </a:pPr>
    </a:p>
  </c:txPr>
  <c:externalData r:id="rId1">
    <c:autoUpdate val="0"/>
  </c:externalData>
  <c:userShapes r:id="rId3"/>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0" vertOverflow="ellipsis" vert="horz" wrap="square" anchor="ctr" anchorCtr="1"/>
          <a:lstStyle/>
          <a:p>
            <a:pPr algn="r">
              <a:defRPr lang="zh-CN" sz="1400" b="1" i="0" u="none" strike="noStrike" kern="1200" baseline="0">
                <a:solidFill>
                  <a:schemeClr val="tx1"/>
                </a:solidFill>
                <a:latin typeface="微软雅黑" panose="020B0503020204020204" pitchFamily="2" charset="-122"/>
                <a:ea typeface="微软雅黑" panose="020B0503020204020204" pitchFamily="2" charset="-122"/>
                <a:cs typeface="+mn-cs"/>
              </a:defRPr>
            </a:pPr>
            <a:r>
              <a:rPr lang="zh-CN" altLang="en-US" sz="1400" b="1">
                <a:latin typeface="微软雅黑" panose="020B0503020204020204" pitchFamily="2" charset="-122"/>
                <a:ea typeface="微软雅黑" panose="020B0503020204020204" pitchFamily="2" charset="-122"/>
              </a:rPr>
              <a:t>不同性质企业</a:t>
            </a:r>
            <a:r>
              <a:rPr lang="en-US" altLang="zh-CN" sz="1400" b="1" i="0" u="none" strike="noStrike" baseline="0">
                <a:effectLst/>
              </a:rPr>
              <a:t>2021</a:t>
            </a:r>
            <a:r>
              <a:rPr lang="zh-CN" altLang="en-US" sz="1400" b="1" i="0" u="none" strike="noStrike" baseline="0">
                <a:effectLst/>
              </a:rPr>
              <a:t>年春</a:t>
            </a:r>
            <a:r>
              <a:rPr lang="zh-CN" altLang="zh-CN" sz="1400" b="1" i="0" u="none" strike="noStrike" baseline="0">
                <a:effectLst/>
              </a:rPr>
              <a:t>季求职期</a:t>
            </a:r>
            <a:r>
              <a:rPr lang="zh-CN" altLang="en-US" sz="1400" b="1">
                <a:latin typeface="微软雅黑" panose="020B0503020204020204" pitchFamily="2" charset="-122"/>
                <a:ea typeface="微软雅黑" panose="020B0503020204020204" pitchFamily="2" charset="-122"/>
              </a:rPr>
              <a:t>平均薪酬</a:t>
            </a:r>
            <a:endParaRPr lang="zh-CN" altLang="en-US" sz="1400" b="1">
              <a:latin typeface="微软雅黑" panose="020B0503020204020204" pitchFamily="2" charset="-122"/>
              <a:ea typeface="微软雅黑" panose="020B0503020204020204" pitchFamily="2" charset="-122"/>
            </a:endParaRPr>
          </a:p>
        </c:rich>
      </c:tx>
      <c:layout/>
      <c:overlay val="0"/>
    </c:title>
    <c:autoTitleDeleted val="0"/>
    <c:plotArea>
      <c:layout>
        <c:manualLayout>
          <c:layoutTarget val="inner"/>
          <c:xMode val="edge"/>
          <c:yMode val="edge"/>
          <c:x val="0.0844243193842223"/>
          <c:y val="0.273372282889344"/>
          <c:w val="0.819891548371499"/>
          <c:h val="0.412468215671945"/>
        </c:manualLayout>
      </c:layout>
      <c:barChart>
        <c:barDir val="col"/>
        <c:grouping val="clustered"/>
        <c:varyColors val="0"/>
        <c:ser>
          <c:idx val="0"/>
          <c:order val="0"/>
          <c:tx>
            <c:strRef>
              <c:f>'五、薪酬'!$C$50</c:f>
              <c:strCache>
                <c:ptCount val="1"/>
                <c:pt idx="0">
                  <c:v>平均薪酬</c:v>
                </c:pt>
              </c:strCache>
            </c:strRef>
          </c:tx>
          <c:spPr>
            <a:solidFill>
              <a:srgbClr val="1B45F6"/>
            </a:solidFill>
          </c:spPr>
          <c:invertIfNegative val="0"/>
          <c:dPt>
            <c:idx val="0"/>
            <c:invertIfNegative val="0"/>
            <c:bubble3D val="0"/>
          </c:dPt>
          <c:dLbls>
            <c:spPr>
              <a:noFill/>
              <a:ln>
                <a:noFill/>
              </a:ln>
              <a:effectLst/>
            </c:spPr>
            <c:txPr>
              <a:bodyPr rot="0" spcFirstLastPara="0" vertOverflow="ellipsis" vert="horz" wrap="square" lIns="38100" tIns="19050" rIns="38100" bIns="19050" anchor="ctr" anchorCtr="1">
                <a:spAutoFit/>
              </a:bodyPr>
              <a:lstStyle/>
              <a:p>
                <a:pPr>
                  <a:defRPr lang="zh-CN" sz="1000" b="0" i="0" u="none" strike="noStrike" kern="1200" baseline="0">
                    <a:solidFill>
                      <a:schemeClr val="bg1"/>
                    </a:solidFill>
                    <a:latin typeface="微软雅黑" panose="020B0503020204020204" pitchFamily="2" charset="-122"/>
                    <a:ea typeface="微软雅黑" panose="020B0503020204020204" pitchFamily="2" charset="-122"/>
                    <a:cs typeface="+mn-cs"/>
                  </a:defRPr>
                </a:pPr>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'五、薪酬'!$B$51:$B$56</c:f>
              <c:strCache>
                <c:ptCount val="6"/>
                <c:pt idx="0">
                  <c:v>上市公司</c:v>
                </c:pt>
                <c:pt idx="1">
                  <c:v>国企</c:v>
                </c:pt>
                <c:pt idx="2">
                  <c:v>外商独资</c:v>
                </c:pt>
                <c:pt idx="3">
                  <c:v>合资</c:v>
                </c:pt>
                <c:pt idx="4">
                  <c:v>股份制企业</c:v>
                </c:pt>
                <c:pt idx="5">
                  <c:v>民营</c:v>
                </c:pt>
              </c:strCache>
            </c:strRef>
          </c:cat>
          <c:val>
            <c:numRef>
              <c:f>'五、薪酬'!$C$51:$C$56</c:f>
              <c:numCache>
                <c:formatCode>0_ </c:formatCode>
                <c:ptCount val="6"/>
                <c:pt idx="0">
                  <c:v>10217.75</c:v>
                </c:pt>
                <c:pt idx="1">
                  <c:v>9902.03</c:v>
                </c:pt>
                <c:pt idx="2">
                  <c:v>9874.515</c:v>
                </c:pt>
                <c:pt idx="3">
                  <c:v>9662.043</c:v>
                </c:pt>
                <c:pt idx="4">
                  <c:v>8967.715</c:v>
                </c:pt>
                <c:pt idx="5">
                  <c:v>8821.224</c:v>
                </c:pt>
              </c:numCache>
            </c:numRef>
          </c:val>
        </c:ser>
        <c:dLbls>
          <c:showLegendKey val="0"/>
          <c:showVal val="1"/>
          <c:showCatName val="0"/>
          <c:showSerName val="0"/>
          <c:showPercent val="0"/>
          <c:showBubbleSize val="0"/>
        </c:dLbls>
        <c:gapWidth val="100"/>
        <c:axId val="769182736"/>
        <c:axId val="769171312"/>
      </c:barChart>
      <c:lineChart>
        <c:grouping val="standard"/>
        <c:varyColors val="0"/>
        <c:ser>
          <c:idx val="2"/>
          <c:order val="2"/>
          <c:tx>
            <c:strRef>
              <c:f>'五、薪酬'!$E$50</c:f>
              <c:strCache>
                <c:ptCount val="1"/>
                <c:pt idx="0">
                  <c:v>2021Q1全国平均薪酬</c:v>
                </c:pt>
              </c:strCache>
            </c:strRef>
          </c:tx>
          <c:spPr>
            <a:ln w="22225" cap="rnd" cmpd="sng" algn="ctr">
              <a:solidFill>
                <a:schemeClr val="bg1">
                  <a:lumMod val="50000"/>
                </a:schemeClr>
              </a:solidFill>
              <a:prstDash val="dash"/>
              <a:round/>
            </a:ln>
          </c:spPr>
          <c:marker>
            <c:symbol val="none"/>
          </c:marker>
          <c:dLbls>
            <c:delete val="1"/>
          </c:dLbls>
          <c:val>
            <c:numRef>
              <c:f>'五、薪酬'!$E$51:$E$56</c:f>
              <c:numCache>
                <c:formatCode>0_);[Red]\(0\)</c:formatCode>
                <c:ptCount val="6"/>
                <c:pt idx="0">
                  <c:v>9059</c:v>
                </c:pt>
                <c:pt idx="1">
                  <c:v>9059</c:v>
                </c:pt>
                <c:pt idx="2">
                  <c:v>9059</c:v>
                </c:pt>
                <c:pt idx="3">
                  <c:v>9059</c:v>
                </c:pt>
                <c:pt idx="4">
                  <c:v>9059</c:v>
                </c:pt>
                <c:pt idx="5">
                  <c:v>9059</c:v>
                </c:pt>
              </c:numCache>
            </c:numRef>
          </c:val>
          <c:smooth val="0"/>
        </c:ser>
        <c:dLbls>
          <c:showLegendKey val="0"/>
          <c:showVal val="0"/>
          <c:showCatName val="0"/>
          <c:showSerName val="0"/>
          <c:showPercent val="0"/>
          <c:showBubbleSize val="0"/>
        </c:dLbls>
        <c:marker val="0"/>
        <c:smooth val="0"/>
        <c:axId val="769182736"/>
        <c:axId val="769171312"/>
      </c:lineChart>
      <c:lineChart>
        <c:grouping val="standard"/>
        <c:varyColors val="0"/>
        <c:ser>
          <c:idx val="1"/>
          <c:order val="1"/>
          <c:tx>
            <c:strRef>
              <c:f>'五、薪酬'!$D$50</c:f>
              <c:strCache>
                <c:ptCount val="1"/>
                <c:pt idx="0">
                  <c:v>环比增幅</c:v>
                </c:pt>
              </c:strCache>
            </c:strRef>
          </c:tx>
          <c:spPr>
            <a:ln w="28575" cap="rnd" cmpd="sng" algn="ctr">
              <a:solidFill>
                <a:srgbClr val="FDD000"/>
              </a:solidFill>
              <a:prstDash val="solid"/>
              <a:round/>
            </a:ln>
          </c:spPr>
          <c:marker>
            <c:symbol val="circle"/>
            <c:size val="7"/>
            <c:spPr>
              <a:solidFill>
                <a:srgbClr val="FDD000"/>
              </a:solidFill>
              <a:ln w="6350" cap="rnd" cmpd="sng" algn="ctr">
                <a:solidFill>
                  <a:srgbClr val="FDD000"/>
                </a:solidFill>
                <a:prstDash val="solid"/>
                <a:round/>
              </a:ln>
            </c:spPr>
          </c:marker>
          <c:dLbls>
            <c:spPr>
              <a:solidFill>
                <a:srgbClr val="FFFFCC"/>
              </a:solidFill>
              <a:ln>
                <a:noFill/>
              </a:ln>
              <a:effectLst/>
            </c:spPr>
            <c:txPr>
              <a:bodyPr rot="0" spcFirstLastPara="0" vertOverflow="ellipsis" vert="horz" wrap="square" lIns="38100" tIns="19050" rIns="38100" bIns="19050" anchor="ctr" anchorCtr="1">
                <a:spAutoFit/>
              </a:bodyPr>
              <a:lstStyle/>
              <a:p>
                <a:pPr>
                  <a:defRPr lang="zh-CN" sz="800" b="0" i="0" u="none" strike="noStrike" kern="1200" baseline="0">
                    <a:solidFill>
                      <a:schemeClr val="tx1"/>
                    </a:solidFill>
                    <a:latin typeface="微软雅黑" panose="020B0503020204020204" pitchFamily="2" charset="-122"/>
                    <a:ea typeface="微软雅黑" panose="020B0503020204020204" pitchFamily="2" charset="-122"/>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'五、薪酬'!$B$51:$B$56</c:f>
              <c:strCache>
                <c:ptCount val="6"/>
                <c:pt idx="0">
                  <c:v>上市公司</c:v>
                </c:pt>
                <c:pt idx="1">
                  <c:v>国企</c:v>
                </c:pt>
                <c:pt idx="2">
                  <c:v>外商独资</c:v>
                </c:pt>
                <c:pt idx="3">
                  <c:v>合资</c:v>
                </c:pt>
                <c:pt idx="4">
                  <c:v>股份制企业</c:v>
                </c:pt>
                <c:pt idx="5">
                  <c:v>民营</c:v>
                </c:pt>
              </c:strCache>
            </c:strRef>
          </c:cat>
          <c:val>
            <c:numRef>
              <c:f>'五、薪酬'!$D$51:$D$56</c:f>
              <c:numCache>
                <c:formatCode>0.0%</c:formatCode>
                <c:ptCount val="6"/>
                <c:pt idx="0">
                  <c:v>0.0075516768235638</c:v>
                </c:pt>
                <c:pt idx="1">
                  <c:v>0.0474795954224479</c:v>
                </c:pt>
                <c:pt idx="2">
                  <c:v>0.0277043605400184</c:v>
                </c:pt>
                <c:pt idx="3">
                  <c:v>0.0193499987034713</c:v>
                </c:pt>
                <c:pt idx="4">
                  <c:v>0.0185921864430211</c:v>
                </c:pt>
                <c:pt idx="5">
                  <c:v>0.00580603562808464</c:v>
                </c:pt>
              </c:numCache>
            </c:numRef>
          </c:val>
          <c:smooth val="0"/>
        </c:ser>
        <c:dLbls>
          <c:showLegendKey val="0"/>
          <c:showVal val="1"/>
          <c:showCatName val="0"/>
          <c:showSerName val="0"/>
          <c:showPercent val="0"/>
          <c:showBubbleSize val="0"/>
        </c:dLbls>
        <c:marker val="1"/>
        <c:smooth val="0"/>
        <c:axId val="769176208"/>
        <c:axId val="769180016"/>
      </c:lineChart>
      <c:catAx>
        <c:axId val="769182736"/>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solidFill>
                <a:latin typeface="微软雅黑" panose="020B0503020204020204" pitchFamily="2" charset="-122"/>
                <a:ea typeface="微软雅黑" panose="020B0503020204020204" pitchFamily="2" charset="-122"/>
                <a:cs typeface="+mn-cs"/>
              </a:defRPr>
            </a:pPr>
          </a:p>
        </c:txPr>
        <c:crossAx val="769171312"/>
        <c:crosses val="autoZero"/>
        <c:auto val="1"/>
        <c:lblAlgn val="ctr"/>
        <c:lblOffset val="100"/>
        <c:noMultiLvlLbl val="0"/>
      </c:catAx>
      <c:valAx>
        <c:axId val="769171312"/>
        <c:scaling>
          <c:orientation val="minMax"/>
          <c:min val="6000"/>
        </c:scaling>
        <c:delete val="0"/>
        <c:axPos val="l"/>
        <c:numFmt formatCode="#,##0.00_);[Red]\(#,##0.00\)" sourceLinked="0"/>
        <c:majorTickMark val="out"/>
        <c:minorTickMark val="none"/>
        <c:tickLblPos val="none"/>
        <c:spPr>
          <a:ln w="6350" cap="flat" cmpd="sng" algn="ctr">
            <a:no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69182736"/>
        <c:crossesAt val="1"/>
        <c:crossBetween val="between"/>
      </c:valAx>
      <c:catAx>
        <c:axId val="769176208"/>
        <c:scaling>
          <c:orientation val="minMax"/>
        </c:scaling>
        <c:delete val="1"/>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69180016"/>
        <c:crossesAt val="0"/>
        <c:auto val="1"/>
        <c:lblAlgn val="ctr"/>
        <c:lblOffset val="100"/>
        <c:noMultiLvlLbl val="0"/>
      </c:catAx>
      <c:valAx>
        <c:axId val="769180016"/>
        <c:scaling>
          <c:orientation val="minMax"/>
          <c:max val="0.05"/>
          <c:min val="-0.1"/>
        </c:scaling>
        <c:delete val="0"/>
        <c:axPos val="r"/>
        <c:numFmt formatCode="0.0%" sourceLinked="1"/>
        <c:majorTickMark val="out"/>
        <c:minorTickMark val="none"/>
        <c:tickLblPos val="none"/>
        <c:spPr>
          <a:ln w="6350" cap="flat" cmpd="sng" algn="ctr">
            <a:no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69176208"/>
        <c:crosses val="max"/>
        <c:crossBetween val="between"/>
      </c:valAx>
      <c:spPr>
        <a:noFill/>
      </c:spPr>
    </c:plotArea>
    <c:legend>
      <c:legendPos val="t"/>
      <c:layout/>
      <c:overlay val="0"/>
      <c:txPr>
        <a:bodyPr rot="0" spcFirstLastPara="0" vertOverflow="ellipsis" vert="horz" wrap="square" anchor="ctr" anchorCtr="1"/>
        <a:lstStyle/>
        <a:p>
          <a:pPr>
            <a:defRPr lang="zh-CN" sz="1000" b="0" i="0" u="none" strike="noStrike" kern="1200" baseline="0">
              <a:solidFill>
                <a:schemeClr val="tx1"/>
              </a:solidFill>
              <a:latin typeface="微软雅黑" panose="020B0503020204020204" pitchFamily="2" charset="-122"/>
              <a:ea typeface="微软雅黑" panose="020B0503020204020204" pitchFamily="2" charset="-122"/>
              <a:cs typeface="+mn-cs"/>
            </a:defRPr>
          </a:pPr>
        </a:p>
      </c:txPr>
    </c:legend>
    <c:plotVisOnly val="1"/>
    <c:dispBlanksAs val="zero"/>
    <c:showDLblsOverMax val="0"/>
  </c:chart>
  <c:spPr>
    <a:noFill/>
    <a:ln w="9525" cap="flat" cmpd="sng" algn="ctr">
      <a:noFill/>
      <a:prstDash val="solid"/>
      <a:round/>
    </a:ln>
  </c:spPr>
  <c:txPr>
    <a:bodyPr/>
    <a:lstStyle/>
    <a:p>
      <a:pPr>
        <a:defRPr lang="zh-CN"/>
      </a:pPr>
    </a:p>
  </c:tx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0" vertOverflow="ellipsis" vert="horz" wrap="square" anchor="ctr" anchorCtr="1"/>
          <a:lstStyle/>
          <a:p>
            <a:pPr algn="r">
              <a:defRPr lang="zh-CN" sz="1400" b="1" i="0" u="none" strike="noStrike" kern="1200" baseline="0">
                <a:solidFill>
                  <a:schemeClr val="tx1"/>
                </a:solidFill>
                <a:latin typeface="微软雅黑" panose="020B0503020204020204" pitchFamily="2" charset="-122"/>
                <a:ea typeface="微软雅黑" panose="020B0503020204020204" pitchFamily="2" charset="-122"/>
                <a:cs typeface="+mn-cs"/>
              </a:defRPr>
            </a:pPr>
            <a:r>
              <a:rPr lang="zh-CN" altLang="en-US" sz="1400" b="1">
                <a:latin typeface="微软雅黑" panose="020B0503020204020204" pitchFamily="2" charset="-122"/>
                <a:ea typeface="微软雅黑" panose="020B0503020204020204" pitchFamily="2" charset="-122"/>
              </a:rPr>
              <a:t>不同规模企业</a:t>
            </a:r>
            <a:r>
              <a:rPr lang="en-US" altLang="zh-CN" sz="1400" b="1" i="0" u="none" strike="noStrike" baseline="0">
                <a:effectLst/>
              </a:rPr>
              <a:t>2021</a:t>
            </a:r>
            <a:r>
              <a:rPr lang="zh-CN" altLang="en-US" sz="1400" b="1" i="0" u="none" strike="noStrike" baseline="0">
                <a:effectLst/>
              </a:rPr>
              <a:t>年春</a:t>
            </a:r>
            <a:r>
              <a:rPr lang="zh-CN" altLang="zh-CN" sz="1400" b="1" i="0" u="none" strike="noStrike" baseline="0">
                <a:effectLst/>
              </a:rPr>
              <a:t>季求职期</a:t>
            </a:r>
            <a:r>
              <a:rPr lang="zh-CN" altLang="en-US" sz="1400" b="1">
                <a:latin typeface="微软雅黑" panose="020B0503020204020204" pitchFamily="2" charset="-122"/>
                <a:ea typeface="微软雅黑" panose="020B0503020204020204" pitchFamily="2" charset="-122"/>
              </a:rPr>
              <a:t>平均薪酬</a:t>
            </a:r>
            <a:endParaRPr lang="zh-CN" altLang="en-US" sz="1400" b="1">
              <a:latin typeface="微软雅黑" panose="020B0503020204020204" pitchFamily="2" charset="-122"/>
              <a:ea typeface="微软雅黑" panose="020B0503020204020204" pitchFamily="2" charset="-122"/>
            </a:endParaRPr>
          </a:p>
        </c:rich>
      </c:tx>
      <c:layout/>
      <c:overlay val="0"/>
    </c:title>
    <c:autoTitleDeleted val="0"/>
    <c:plotArea>
      <c:layout>
        <c:manualLayout>
          <c:layoutTarget val="inner"/>
          <c:xMode val="edge"/>
          <c:yMode val="edge"/>
          <c:x val="0.0844243193842223"/>
          <c:y val="0.214664414953345"/>
          <c:w val="0.819891548371499"/>
          <c:h val="0.471176120125654"/>
        </c:manualLayout>
      </c:layout>
      <c:barChart>
        <c:barDir val="col"/>
        <c:grouping val="clustered"/>
        <c:varyColors val="0"/>
        <c:ser>
          <c:idx val="0"/>
          <c:order val="0"/>
          <c:tx>
            <c:strRef>
              <c:f>'五、薪酬'!$C$76</c:f>
              <c:strCache>
                <c:ptCount val="1"/>
                <c:pt idx="0">
                  <c:v>平均薪酬</c:v>
                </c:pt>
              </c:strCache>
            </c:strRef>
          </c:tx>
          <c:spPr>
            <a:solidFill>
              <a:srgbClr val="1B45F6"/>
            </a:solidFill>
          </c:spPr>
          <c:invertIfNegative val="0"/>
          <c:dLbls>
            <c:spPr>
              <a:noFill/>
              <a:ln>
                <a:noFill/>
              </a:ln>
              <a:effectLst/>
            </c:spPr>
            <c:txPr>
              <a:bodyPr rot="0" spcFirstLastPara="0" vertOverflow="ellipsis" vert="horz" wrap="square" lIns="38100" tIns="19050" rIns="38100" bIns="19050" anchor="ctr" anchorCtr="1">
                <a:spAutoFit/>
              </a:bodyPr>
              <a:lstStyle/>
              <a:p>
                <a:pPr>
                  <a:defRPr lang="zh-CN" sz="1000" b="0" i="0" u="none" strike="noStrike" kern="1200" baseline="0">
                    <a:solidFill>
                      <a:schemeClr val="bg1"/>
                    </a:solidFill>
                    <a:latin typeface="微软雅黑" panose="020B0503020204020204" pitchFamily="2" charset="-122"/>
                    <a:ea typeface="微软雅黑" panose="020B0503020204020204" pitchFamily="2" charset="-122"/>
                    <a:cs typeface="+mn-cs"/>
                  </a:defRPr>
                </a:pPr>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'五、薪酬'!$B$77:$B$82</c:f>
              <c:strCache>
                <c:ptCount val="6"/>
                <c:pt idx="0">
                  <c:v>20人以下</c:v>
                </c:pt>
                <c:pt idx="1">
                  <c:v>20-99人</c:v>
                </c:pt>
                <c:pt idx="2">
                  <c:v>100-499人</c:v>
                </c:pt>
                <c:pt idx="3">
                  <c:v>500-999人</c:v>
                </c:pt>
                <c:pt idx="4">
                  <c:v>1000-9999人</c:v>
                </c:pt>
                <c:pt idx="5">
                  <c:v>10000人以上</c:v>
                </c:pt>
              </c:strCache>
            </c:strRef>
          </c:cat>
          <c:val>
            <c:numRef>
              <c:f>'五、薪酬'!$C$77:$C$82</c:f>
              <c:numCache>
                <c:formatCode>0_ </c:formatCode>
                <c:ptCount val="6"/>
                <c:pt idx="0">
                  <c:v>8244.798</c:v>
                </c:pt>
                <c:pt idx="1">
                  <c:v>8330.488</c:v>
                </c:pt>
                <c:pt idx="2">
                  <c:v>8972.749</c:v>
                </c:pt>
                <c:pt idx="3">
                  <c:v>9429.424</c:v>
                </c:pt>
                <c:pt idx="4">
                  <c:v>10248.76</c:v>
                </c:pt>
                <c:pt idx="5">
                  <c:v>10608.1</c:v>
                </c:pt>
              </c:numCache>
            </c:numRef>
          </c:val>
        </c:ser>
        <c:dLbls>
          <c:showLegendKey val="0"/>
          <c:showVal val="1"/>
          <c:showCatName val="0"/>
          <c:showSerName val="0"/>
          <c:showPercent val="0"/>
          <c:showBubbleSize val="0"/>
        </c:dLbls>
        <c:gapWidth val="100"/>
        <c:axId val="769176752"/>
        <c:axId val="769180560"/>
      </c:barChart>
      <c:lineChart>
        <c:grouping val="standard"/>
        <c:varyColors val="0"/>
        <c:ser>
          <c:idx val="2"/>
          <c:order val="2"/>
          <c:tx>
            <c:strRef>
              <c:f>'五、薪酬'!$E$76</c:f>
              <c:strCache>
                <c:ptCount val="1"/>
                <c:pt idx="0">
                  <c:v>2021Q1全国平均薪酬</c:v>
                </c:pt>
              </c:strCache>
            </c:strRef>
          </c:tx>
          <c:spPr>
            <a:ln w="19050" cap="rnd" cmpd="sng" algn="ctr">
              <a:solidFill>
                <a:schemeClr val="bg1">
                  <a:lumMod val="50000"/>
                </a:schemeClr>
              </a:solidFill>
              <a:prstDash val="dash"/>
              <a:round/>
            </a:ln>
          </c:spPr>
          <c:marker>
            <c:symbol val="none"/>
          </c:marker>
          <c:dLbls>
            <c:delete val="1"/>
          </c:dLbls>
          <c:cat>
            <c:strRef>
              <c:f>'五、薪酬'!$B$77:$B$82</c:f>
              <c:strCache>
                <c:ptCount val="6"/>
                <c:pt idx="0">
                  <c:v>20人以下</c:v>
                </c:pt>
                <c:pt idx="1">
                  <c:v>20-99人</c:v>
                </c:pt>
                <c:pt idx="2">
                  <c:v>100-499人</c:v>
                </c:pt>
                <c:pt idx="3">
                  <c:v>500-999人</c:v>
                </c:pt>
                <c:pt idx="4">
                  <c:v>1000-9999人</c:v>
                </c:pt>
                <c:pt idx="5">
                  <c:v>10000人以上</c:v>
                </c:pt>
              </c:strCache>
            </c:strRef>
          </c:cat>
          <c:val>
            <c:numRef>
              <c:f>'五、薪酬'!$E$77:$E$82</c:f>
              <c:numCache>
                <c:formatCode>0_);[Red]\(0\)</c:formatCode>
                <c:ptCount val="6"/>
                <c:pt idx="0">
                  <c:v>9059</c:v>
                </c:pt>
                <c:pt idx="1">
                  <c:v>9059</c:v>
                </c:pt>
                <c:pt idx="2">
                  <c:v>9059</c:v>
                </c:pt>
                <c:pt idx="3">
                  <c:v>9059</c:v>
                </c:pt>
                <c:pt idx="4">
                  <c:v>9059</c:v>
                </c:pt>
                <c:pt idx="5">
                  <c:v>9059</c:v>
                </c:pt>
              </c:numCache>
            </c:numRef>
          </c:val>
          <c:smooth val="0"/>
        </c:ser>
        <c:dLbls>
          <c:showLegendKey val="0"/>
          <c:showVal val="0"/>
          <c:showCatName val="0"/>
          <c:showSerName val="0"/>
          <c:showPercent val="0"/>
          <c:showBubbleSize val="0"/>
        </c:dLbls>
        <c:marker val="0"/>
        <c:smooth val="0"/>
        <c:axId val="769176752"/>
        <c:axId val="769180560"/>
      </c:lineChart>
      <c:lineChart>
        <c:grouping val="standard"/>
        <c:varyColors val="0"/>
        <c:ser>
          <c:idx val="1"/>
          <c:order val="1"/>
          <c:tx>
            <c:strRef>
              <c:f>'五、薪酬'!$D$76</c:f>
              <c:strCache>
                <c:ptCount val="1"/>
                <c:pt idx="0">
                  <c:v>环比增幅</c:v>
                </c:pt>
              </c:strCache>
            </c:strRef>
          </c:tx>
          <c:spPr>
            <a:ln w="28575" cap="rnd" cmpd="sng" algn="ctr">
              <a:solidFill>
                <a:srgbClr val="FDD002"/>
              </a:solidFill>
              <a:prstDash val="solid"/>
              <a:round/>
            </a:ln>
          </c:spPr>
          <c:marker>
            <c:symbol val="circle"/>
            <c:size val="7"/>
            <c:spPr>
              <a:solidFill>
                <a:srgbClr val="FDD000"/>
              </a:solidFill>
              <a:ln w="6350" cap="rnd" cmpd="sng" algn="ctr">
                <a:solidFill>
                  <a:srgbClr val="FDD000"/>
                </a:solidFill>
                <a:prstDash val="solid"/>
                <a:round/>
              </a:ln>
            </c:spPr>
          </c:marker>
          <c:dLbls>
            <c:spPr>
              <a:solidFill>
                <a:srgbClr val="FFFFCC"/>
              </a:solidFill>
              <a:ln>
                <a:noFill/>
              </a:ln>
              <a:effectLst/>
            </c:spPr>
            <c:txPr>
              <a:bodyPr rot="0" spcFirstLastPara="0" vertOverflow="ellipsis" vert="horz" wrap="square" lIns="38100" tIns="19050" rIns="38100" bIns="19050" anchor="ctr" anchorCtr="1">
                <a:spAutoFit/>
              </a:bodyPr>
              <a:lstStyle/>
              <a:p>
                <a:pPr>
                  <a:defRPr lang="zh-CN" sz="800" b="0" i="0" u="none" strike="noStrike" kern="1200" baseline="0">
                    <a:solidFill>
                      <a:schemeClr val="tx1"/>
                    </a:solidFill>
                    <a:latin typeface="微软雅黑" panose="020B0503020204020204" pitchFamily="2" charset="-122"/>
                    <a:ea typeface="微软雅黑" panose="020B0503020204020204" pitchFamily="2" charset="-122"/>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'五、薪酬'!$B$77:$B$82</c:f>
              <c:strCache>
                <c:ptCount val="6"/>
                <c:pt idx="0">
                  <c:v>20人以下</c:v>
                </c:pt>
                <c:pt idx="1">
                  <c:v>20-99人</c:v>
                </c:pt>
                <c:pt idx="2">
                  <c:v>100-499人</c:v>
                </c:pt>
                <c:pt idx="3">
                  <c:v>500-999人</c:v>
                </c:pt>
                <c:pt idx="4">
                  <c:v>1000-9999人</c:v>
                </c:pt>
                <c:pt idx="5">
                  <c:v>10000人以上</c:v>
                </c:pt>
              </c:strCache>
            </c:strRef>
          </c:cat>
          <c:val>
            <c:numRef>
              <c:f>'五、薪酬'!$D$77:$D$82</c:f>
              <c:numCache>
                <c:formatCode>0.0%</c:formatCode>
                <c:ptCount val="6"/>
                <c:pt idx="0">
                  <c:v>0.000160798937537765</c:v>
                </c:pt>
                <c:pt idx="1">
                  <c:v>0.00457807679520211</c:v>
                </c:pt>
                <c:pt idx="2">
                  <c:v>0.0134877292035008</c:v>
                </c:pt>
                <c:pt idx="3">
                  <c:v>0.000737022666134506</c:v>
                </c:pt>
                <c:pt idx="4">
                  <c:v>0.0267920078412209</c:v>
                </c:pt>
                <c:pt idx="5">
                  <c:v>0.029142813994768</c:v>
                </c:pt>
              </c:numCache>
            </c:numRef>
          </c:val>
          <c:smooth val="0"/>
        </c:ser>
        <c:dLbls>
          <c:showLegendKey val="0"/>
          <c:showVal val="1"/>
          <c:showCatName val="0"/>
          <c:showSerName val="0"/>
          <c:showPercent val="0"/>
          <c:showBubbleSize val="0"/>
        </c:dLbls>
        <c:marker val="1"/>
        <c:smooth val="0"/>
        <c:axId val="769182192"/>
        <c:axId val="769181104"/>
      </c:lineChart>
      <c:catAx>
        <c:axId val="769176752"/>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solidFill>
                <a:latin typeface="微软雅黑" panose="020B0503020204020204" pitchFamily="2" charset="-122"/>
                <a:ea typeface="微软雅黑" panose="020B0503020204020204" pitchFamily="2" charset="-122"/>
                <a:cs typeface="+mn-cs"/>
              </a:defRPr>
            </a:pPr>
          </a:p>
        </c:txPr>
        <c:crossAx val="769180560"/>
        <c:crosses val="autoZero"/>
        <c:auto val="1"/>
        <c:lblAlgn val="ctr"/>
        <c:lblOffset val="100"/>
        <c:noMultiLvlLbl val="0"/>
      </c:catAx>
      <c:valAx>
        <c:axId val="769180560"/>
        <c:scaling>
          <c:orientation val="minMax"/>
          <c:min val="6000"/>
        </c:scaling>
        <c:delete val="0"/>
        <c:axPos val="l"/>
        <c:numFmt formatCode="#,##0.00_);[Red]\(#,##0.00\)" sourceLinked="0"/>
        <c:majorTickMark val="out"/>
        <c:minorTickMark val="none"/>
        <c:tickLblPos val="none"/>
        <c:spPr>
          <a:ln w="6350" cap="flat" cmpd="sng" algn="ctr">
            <a:no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69176752"/>
        <c:crossesAt val="1"/>
        <c:crossBetween val="between"/>
      </c:valAx>
      <c:catAx>
        <c:axId val="769182192"/>
        <c:scaling>
          <c:orientation val="minMax"/>
        </c:scaling>
        <c:delete val="1"/>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69181104"/>
        <c:crossesAt val="0"/>
        <c:auto val="1"/>
        <c:lblAlgn val="ctr"/>
        <c:lblOffset val="100"/>
        <c:noMultiLvlLbl val="0"/>
      </c:catAx>
      <c:valAx>
        <c:axId val="769181104"/>
        <c:scaling>
          <c:orientation val="minMax"/>
          <c:max val="0.045"/>
          <c:min val="-0.1"/>
        </c:scaling>
        <c:delete val="0"/>
        <c:axPos val="r"/>
        <c:numFmt formatCode="0.0%" sourceLinked="1"/>
        <c:majorTickMark val="out"/>
        <c:minorTickMark val="none"/>
        <c:tickLblPos val="none"/>
        <c:spPr>
          <a:ln w="6350" cap="flat" cmpd="sng" algn="ctr">
            <a:no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69182192"/>
        <c:crosses val="max"/>
        <c:crossBetween val="between"/>
      </c:valAx>
      <c:spPr>
        <a:noFill/>
      </c:spPr>
    </c:plotArea>
    <c:legend>
      <c:legendPos val="t"/>
      <c:layout/>
      <c:overlay val="0"/>
      <c:txPr>
        <a:bodyPr rot="0" spcFirstLastPara="0" vertOverflow="ellipsis" vert="horz" wrap="square" anchor="ctr" anchorCtr="1"/>
        <a:lstStyle/>
        <a:p>
          <a:pPr>
            <a:defRPr lang="zh-CN" sz="1000" b="0" i="0" u="none" strike="noStrike" kern="1200" baseline="0">
              <a:solidFill>
                <a:schemeClr val="tx1"/>
              </a:solidFill>
              <a:latin typeface="微软雅黑" panose="020B0503020204020204" pitchFamily="2" charset="-122"/>
              <a:ea typeface="微软雅黑" panose="020B0503020204020204" pitchFamily="2" charset="-122"/>
              <a:cs typeface="+mn-cs"/>
            </a:defRPr>
          </a:pPr>
        </a:p>
      </c:txPr>
    </c:legend>
    <c:plotVisOnly val="1"/>
    <c:dispBlanksAs val="zero"/>
    <c:showDLblsOverMax val="0"/>
  </c:chart>
  <c:spPr>
    <a:noFill/>
    <a:ln w="9525" cap="flat" cmpd="sng" algn="ctr">
      <a:noFill/>
      <a:prstDash val="solid"/>
      <a:round/>
    </a:ln>
  </c:spPr>
  <c:txPr>
    <a:bodyPr/>
    <a:lstStyle/>
    <a:p>
      <a:pPr>
        <a:defRPr lang="zh-CN"/>
      </a:pPr>
    </a:p>
  </c:txPr>
  <c:externalData r:id="rId1">
    <c:autoUpdate val="0"/>
  </c:externalData>
  <c:userShapes r:id="rId2"/>
</c:chartSpace>
</file>

<file path=word/drawings/_rels/drawing1.xml.rels><?xml version="1.0" encoding="UTF-8" standalone="yes"?>
<Relationships xmlns="http://schemas.openxmlformats.org/package/2006/relationships"><Relationship Id="rId1" Type="http://schemas.openxmlformats.org/officeDocument/2006/relationships/image" Target="../media/image7.png"/></Relationships>
</file>

<file path=word/drawings/_rels/drawing2.xml.rels><?xml version="1.0" encoding="UTF-8" standalone="yes"?>
<Relationships xmlns="http://schemas.openxmlformats.org/package/2006/relationships"><Relationship Id="rId1" Type="http://schemas.openxmlformats.org/officeDocument/2006/relationships/image" Target="../media/image8.png"/></Relationships>
</file>

<file path=word/drawings/_rels/drawing3.xml.rels><?xml version="1.0" encoding="UTF-8" standalone="yes"?>
<Relationships xmlns="http://schemas.openxmlformats.org/package/2006/relationships"><Relationship Id="rId1" Type="http://schemas.openxmlformats.org/officeDocument/2006/relationships/image" Target="../media/image8.png"/></Relationships>
</file>

<file path=word/drawings/_rels/drawing4.xml.rels><?xml version="1.0" encoding="UTF-8" standalone="yes"?>
<Relationships xmlns="http://schemas.openxmlformats.org/package/2006/relationships"><Relationship Id="rId1" Type="http://schemas.openxmlformats.org/officeDocument/2006/relationships/image" Target="../media/image8.png"/></Relationships>
</file>

<file path=word/drawings/_rels/drawing5.xml.rels><?xml version="1.0" encoding="UTF-8" standalone="yes"?>
<Relationships xmlns="http://schemas.openxmlformats.org/package/2006/relationships"><Relationship Id="rId1" Type="http://schemas.openxmlformats.org/officeDocument/2006/relationships/image" Target="../media/image7.png"/></Relationships>
</file>

<file path=word/drawings/_rels/drawing6.xml.rels><?xml version="1.0" encoding="UTF-8" standalone="yes"?>
<Relationships xmlns="http://schemas.openxmlformats.org/package/2006/relationships"><Relationship Id="rId1" Type="http://schemas.openxmlformats.org/officeDocument/2006/relationships/image" Target="../media/image8.png"/></Relationships>
</file>

<file path=word/drawings/_rels/drawing7.xml.rels><?xml version="1.0" encoding="UTF-8" standalone="yes"?>
<Relationships xmlns="http://schemas.openxmlformats.org/package/2006/relationships"><Relationship Id="rId1" Type="http://schemas.openxmlformats.org/officeDocument/2006/relationships/image" Target="../media/image7.png"/></Relationships>
</file>

<file path=word/drawings/drawing1.xml><?xml version="1.0" encoding="utf-8"?>
<c:userShapes xmlns:c="http://schemas.openxmlformats.org/drawingml/2006/chart">
  <cdr:relSizeAnchor xmlns:cdr="http://schemas.openxmlformats.org/drawingml/2006/chartDrawing">
    <cdr:from>
      <cdr:x>0.03687</cdr:x>
      <cdr:y>0.85821</cdr:y>
    </cdr:from>
    <cdr:to>
      <cdr:x>0.734</cdr:x>
      <cdr:y>0.92043</cdr:y>
    </cdr:to>
    <cdr:sp>
      <cdr:nvSpPr>
        <cdr:cNvPr id="2" name="矩形 1"/>
        <cdr:cNvSpPr/>
      </cdr:nvSpPr>
      <cdr:spPr xmlns:a="http://schemas.openxmlformats.org/drawingml/2006/main">
        <a:xfrm xmlns:a="http://schemas.openxmlformats.org/drawingml/2006/main">
          <a:off x="238785" y="3550994"/>
          <a:ext cx="4514893" cy="257446"/>
        </a:xfrm>
        <a:prstGeom xmlns:a="http://schemas.openxmlformats.org/drawingml/2006/main" prst="rect">
          <a:avLst/>
        </a:prstGeom>
        <a:noFill/>
      </cdr:spPr>
      <cdr:txBody xmlns:a="http://schemas.openxmlformats.org/drawingml/2006/main">
        <a:bodyPr vertOverflow="clip" vert="horz" wrap="square" lIns="45720" tIns="45720" rIns="45720" bIns="45720" rtlCol="0" anchor="t" anchorCtr="0">
          <a:normAutofit/>
        </a:bodyPr>
        <a:lstStyle/>
        <a:p>
          <a:r>
            <a:rPr lang="zh-CN" altLang="en-US" sz="900">
              <a:effectLst/>
              <a:latin typeface="微软雅黑" panose="020B0503020204020204" pitchFamily="2" charset="-122"/>
              <a:ea typeface="微软雅黑" panose="020B0503020204020204" pitchFamily="2" charset="-122"/>
              <a:cs typeface="+mn-cs"/>
            </a:rPr>
            <a:t>数据来源：智联招聘（</a:t>
          </a:r>
          <a:r>
            <a:rPr lang="en-US" altLang="zh-CN" sz="900">
              <a:effectLst/>
              <a:latin typeface="微软雅黑" panose="020B0503020204020204" pitchFamily="2" charset="-122"/>
              <a:ea typeface="微软雅黑" panose="020B0503020204020204" pitchFamily="2" charset="-122"/>
              <a:cs typeface="+mn-cs"/>
            </a:rPr>
            <a:t>www.zhaopin.com</a:t>
          </a:r>
          <a:r>
            <a:rPr lang="zh-CN" altLang="en-US" sz="900">
              <a:effectLst/>
              <a:latin typeface="微软雅黑" panose="020B0503020204020204" pitchFamily="2" charset="-122"/>
              <a:ea typeface="微软雅黑" panose="020B0503020204020204" pitchFamily="2" charset="-122"/>
              <a:cs typeface="+mn-cs"/>
            </a:rPr>
            <a:t>）</a:t>
          </a:r>
          <a:endParaRPr lang="zh-CN" altLang="zh-CN" sz="900">
            <a:effectLst/>
            <a:latin typeface="微软雅黑" panose="020B0503020204020204" pitchFamily="2" charset="-122"/>
            <a:ea typeface="微软雅黑" panose="020B0503020204020204" pitchFamily="2" charset="-122"/>
          </a:endParaRPr>
        </a:p>
      </cdr:txBody>
    </cdr:sp>
  </cdr:relSizeAnchor>
  <cdr:relSizeAnchor xmlns:cdr="http://schemas.openxmlformats.org/drawingml/2006/chartDrawing">
    <cdr:from>
      <cdr:x>0.04079</cdr:x>
      <cdr:y>0.81714</cdr:y>
    </cdr:from>
    <cdr:to>
      <cdr:x>0.17581</cdr:x>
      <cdr:y>0.92381</cdr:y>
    </cdr:to>
    <cdr:sp>
      <cdr:nvSpPr>
        <cdr:cNvPr id="3" name="矩形 2"/>
        <cdr:cNvSpPr/>
      </cdr:nvSpPr>
      <cdr:spPr xmlns:a="http://schemas.openxmlformats.org/drawingml/2006/main">
        <a:xfrm xmlns:a="http://schemas.openxmlformats.org/drawingml/2006/main">
          <a:off x="276226" y="4086225"/>
          <a:ext cx="914400" cy="533400"/>
        </a:xfrm>
        <a:prstGeom xmlns:a="http://schemas.openxmlformats.org/drawingml/2006/main" prst="rect">
          <a:avLst/>
        </a:prstGeom>
      </cdr:spPr>
      <cdr:txBody xmlns:a="http://schemas.openxmlformats.org/drawingml/2006/main">
        <a:bodyPr vertOverflow="clip" vert="horz" wrap="none" lIns="45720" tIns="45720" rIns="45720" bIns="45720" rtlCol="0" anchor="t" anchorCtr="0">
          <a:normAutofit/>
        </a:bodyPr>
        <a:lstStyle/>
        <a:p>
          <a:endParaRPr lang="zh-CN" altLang="en-US" sz="1100"/>
        </a:p>
      </cdr:txBody>
    </cdr:sp>
  </cdr:relSizeAnchor>
  <cdr:relSizeAnchor xmlns:cdr="http://schemas.openxmlformats.org/drawingml/2006/chartDrawing">
    <cdr:from>
      <cdr:x>0.01834</cdr:x>
      <cdr:y>0.83345</cdr:y>
    </cdr:from>
    <cdr:to>
      <cdr:x>0.03946</cdr:x>
      <cdr:y>0.86644</cdr:y>
    </cdr:to>
    <cdr:sp>
      <cdr:nvSpPr>
        <cdr:cNvPr id="4" name="矩形 3"/>
        <cdr:cNvSpPr/>
      </cdr:nvSpPr>
      <cdr:spPr xmlns:a="http://schemas.openxmlformats.org/drawingml/2006/main">
        <a:xfrm xmlns:a="http://schemas.openxmlformats.org/drawingml/2006/main">
          <a:off x="118777" y="3448545"/>
          <a:ext cx="136782" cy="136502"/>
        </a:xfrm>
        <a:prstGeom xmlns:a="http://schemas.openxmlformats.org/drawingml/2006/main" prst="rect">
          <a:avLst/>
        </a:prstGeom>
        <a:solidFill>
          <a:srgbClr val="F4C81D"/>
        </a:solidFill>
        <a:l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xmlns:a="http://schemas.openxmlformats.org/drawingml/2006/main">
        <a:bodyPr vertOverflow="clip" vert="horz" wrap="none" lIns="45720" tIns="45720" rIns="45720" bIns="45720" anchor="t" anchorCtr="0">
          <a:normAutofit/>
        </a:bodyPr>
        <a:lstStyle/>
        <a:p>
          <a:endParaRPr lang="zh-CN"/>
        </a:p>
      </cdr:txBody>
    </cdr:sp>
  </cdr:relSizeAnchor>
  <cdr:relSizeAnchor xmlns:cdr="http://schemas.openxmlformats.org/drawingml/2006/chartDrawing">
    <cdr:from>
      <cdr:x>0.01834</cdr:x>
      <cdr:y>0.88121</cdr:y>
    </cdr:from>
    <cdr:to>
      <cdr:x>0.03946</cdr:x>
      <cdr:y>0.9142</cdr:y>
    </cdr:to>
    <cdr:sp>
      <cdr:nvSpPr>
        <cdr:cNvPr id="5" name="矩形 4"/>
        <cdr:cNvSpPr/>
      </cdr:nvSpPr>
      <cdr:spPr xmlns:a="http://schemas.openxmlformats.org/drawingml/2006/main">
        <a:xfrm xmlns:a="http://schemas.openxmlformats.org/drawingml/2006/main">
          <a:off x="118777" y="3646161"/>
          <a:ext cx="136782" cy="136501"/>
        </a:xfrm>
        <a:prstGeom xmlns:a="http://schemas.openxmlformats.org/drawingml/2006/main" prst="rect">
          <a:avLst/>
        </a:prstGeom>
        <a:solidFill>
          <a:srgbClr val="1B45F6"/>
        </a:solidFill>
        <a:l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xmlns:a="http://schemas.openxmlformats.org/drawingml/2006/main">
        <a:bodyPr vertOverflow="clip" vert="horz" wrap="none" lIns="45720" tIns="45720" rIns="45720" bIns="45720" anchor="t" anchorCtr="0">
          <a:normAutofit/>
        </a:bodyPr>
        <a:lstStyle/>
        <a:p>
          <a:endParaRPr lang="zh-CN"/>
        </a:p>
      </cdr:txBody>
    </cdr:sp>
  </cdr:relSizeAnchor>
  <cdr:relSizeAnchor xmlns:cdr="http://schemas.openxmlformats.org/drawingml/2006/chartDrawing">
    <cdr:from>
      <cdr:x>0.01969</cdr:x>
      <cdr:y>0.92762</cdr:y>
    </cdr:from>
    <cdr:to>
      <cdr:x>0.98172</cdr:x>
      <cdr:y>0.92762</cdr:y>
    </cdr:to>
    <cdr:sp>
      <cdr:nvSpPr>
        <cdr:cNvPr id="6" name="直接连接符 5"/>
        <cdr:cNvSpPr/>
      </cdr:nvSpPr>
      <cdr:spPr xmlns:a="http://schemas.openxmlformats.org/drawingml/2006/main">
        <a:xfrm xmlns:a="http://schemas.openxmlformats.org/drawingml/2006/main">
          <a:off x="115529" y="4241079"/>
          <a:ext cx="6093007" cy="0"/>
        </a:xfrm>
        <a:prstGeom xmlns:a="http://schemas.openxmlformats.org/drawingml/2006/main" prst="line">
          <a:avLst/>
        </a:prstGeom>
        <a:l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sp>
  </cdr:relSizeAnchor>
  <cdr:relSizeAnchor xmlns:cdr="http://schemas.openxmlformats.org/drawingml/2006/chartDrawing">
    <cdr:from>
      <cdr:x>0.03938</cdr:x>
      <cdr:y>0.92</cdr:y>
    </cdr:from>
    <cdr:to>
      <cdr:x>0.60095</cdr:x>
      <cdr:y>0.9973</cdr:y>
    </cdr:to>
    <cdr:sp>
      <cdr:nvSpPr>
        <cdr:cNvPr id="7" name="矩形 6"/>
        <cdr:cNvSpPr/>
      </cdr:nvSpPr>
      <cdr:spPr xmlns:a="http://schemas.openxmlformats.org/drawingml/2006/main">
        <a:xfrm xmlns:a="http://schemas.openxmlformats.org/drawingml/2006/main">
          <a:off x="255041" y="3815424"/>
          <a:ext cx="3636952" cy="320579"/>
        </a:xfrm>
        <a:prstGeom xmlns:a="http://schemas.openxmlformats.org/drawingml/2006/main" prst="rect">
          <a:avLst/>
        </a:prstGeom>
      </cdr:spPr>
      <cdr:txBody xmlns:a="http://schemas.openxmlformats.org/drawingml/2006/main">
        <a:bodyPr vertOverflow="clip" vert="horz" wrap="square" lIns="45720" tIns="45720" rIns="45720" bIns="45720" rtlCol="0" anchor="t" anchorCtr="0">
          <a:normAutofit/>
        </a:bodyPr>
        <a:lstStyle/>
        <a:p>
          <a:r>
            <a:rPr lang="en-US" altLang="zh-CN" sz="900">
              <a:effectLst/>
              <a:latin typeface="微软雅黑" panose="020B0503020204020204" pitchFamily="2" charset="-122"/>
              <a:ea typeface="微软雅黑" panose="020B0503020204020204" pitchFamily="2" charset="-122"/>
              <a:cs typeface="+mn-cs"/>
            </a:rPr>
            <a:t>Copyright©2021 zhaopin all rights reserved</a:t>
          </a:r>
          <a:endParaRPr lang="zh-CN" altLang="zh-CN" sz="900">
            <a:effectLst/>
            <a:latin typeface="微软雅黑" panose="020B0503020204020204" pitchFamily="2" charset="-122"/>
            <a:ea typeface="微软雅黑" panose="020B0503020204020204" pitchFamily="2" charset="-122"/>
          </a:endParaRPr>
        </a:p>
      </cdr:txBody>
    </cdr:sp>
  </cdr:relSizeAnchor>
  <cdr:relSizeAnchor xmlns:cdr="http://schemas.openxmlformats.org/drawingml/2006/chartDrawing">
    <cdr:from>
      <cdr:x>0.03566</cdr:x>
      <cdr:y>0.80567</cdr:y>
    </cdr:from>
    <cdr:to>
      <cdr:x>0.85819</cdr:x>
      <cdr:y>0.8806</cdr:y>
    </cdr:to>
    <cdr:sp>
      <cdr:nvSpPr>
        <cdr:cNvPr id="8" name="矩形 7"/>
        <cdr:cNvSpPr/>
      </cdr:nvSpPr>
      <cdr:spPr xmlns:a="http://schemas.openxmlformats.org/drawingml/2006/main">
        <a:xfrm xmlns:a="http://schemas.openxmlformats.org/drawingml/2006/main">
          <a:off x="187856" y="2570791"/>
          <a:ext cx="4332533" cy="239083"/>
        </a:xfrm>
        <a:prstGeom xmlns:a="http://schemas.openxmlformats.org/drawingml/2006/main" prst="rect">
          <a:avLst/>
        </a:prstGeom>
        <a:noFill/>
      </cdr:spPr>
      <cdr:txBody xmlns:a="http://schemas.openxmlformats.org/drawingml/2006/main">
        <a:bodyPr vertOverflow="clip" vert="horz" wrap="square" lIns="45720" tIns="45720" rIns="45720" bIns="45720" rtlCol="0" anchor="t" anchorCtr="0">
          <a:normAutofit/>
        </a:bodyPr>
        <a:lstStyle/>
        <a:p>
          <a:r>
            <a:rPr lang="zh-CN" altLang="en-US" sz="900">
              <a:latin typeface="微软雅黑" panose="020B0503020204020204" pitchFamily="2" charset="-122"/>
              <a:ea typeface="微软雅黑" panose="020B0503020204020204" pitchFamily="2" charset="-122"/>
            </a:rPr>
            <a:t>统计规则：基于智联招聘</a:t>
          </a:r>
          <a:r>
            <a:rPr lang="en-US" altLang="zh-CN" sz="900">
              <a:latin typeface="微软雅黑" panose="020B0503020204020204" pitchFamily="2" charset="-122"/>
              <a:ea typeface="微软雅黑" panose="020B0503020204020204" pitchFamily="2" charset="-122"/>
            </a:rPr>
            <a:t>2021</a:t>
          </a:r>
          <a:r>
            <a:rPr lang="zh-CN" altLang="en-US" sz="900">
              <a:latin typeface="微软雅黑" panose="020B0503020204020204" pitchFamily="2" charset="-122"/>
              <a:ea typeface="微软雅黑" panose="020B0503020204020204" pitchFamily="2" charset="-122"/>
            </a:rPr>
            <a:t>年在线招聘数据库的数据监测统计分析</a:t>
          </a:r>
          <a:endParaRPr lang="zh-CN" altLang="en-US" sz="900">
            <a:latin typeface="微软雅黑" panose="020B0503020204020204" pitchFamily="2" charset="-122"/>
            <a:ea typeface="微软雅黑" panose="020B0503020204020204" pitchFamily="2" charset="-122"/>
          </a:endParaRPr>
        </a:p>
      </cdr:txBody>
    </cdr:sp>
  </cdr:relSizeAnchor>
  <cdr:relSizeAnchor xmlns:cdr="http://schemas.openxmlformats.org/drawingml/2006/chartDrawing">
    <cdr:from>
      <cdr:x>0.82001</cdr:x>
      <cdr:y>0.82744</cdr:y>
    </cdr:from>
    <cdr:to>
      <cdr:x>0.98087</cdr:x>
      <cdr:y>0.90639</cdr:y>
    </cdr:to>
    <cdr:pic xmlns:a="http://schemas.openxmlformats.org/drawingml/2006/main">
      <cdr:nvPicPr>
        <cdr:cNvPr id="9" name="图片 8"/>
        <cdr:cNvPicPr/>
      </cdr:nvPicPr>
      <cdr: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cdr:blipFill>
      <cdr:spPr>
        <a:xfrm>
          <a:off x="4321849" y="2771105"/>
          <a:ext cx="847813" cy="264402"/>
        </a:xfrm>
        <a:prstGeom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0.03687</cdr:x>
      <cdr:y>0.85821</cdr:y>
    </cdr:from>
    <cdr:to>
      <cdr:x>0.734</cdr:x>
      <cdr:y>0.92043</cdr:y>
    </cdr:to>
    <cdr:sp>
      <cdr:nvSpPr>
        <cdr:cNvPr id="2" name="矩形 1"/>
        <cdr:cNvSpPr/>
      </cdr:nvSpPr>
      <cdr:spPr xmlns:a="http://schemas.openxmlformats.org/drawingml/2006/main">
        <a:xfrm xmlns:a="http://schemas.openxmlformats.org/drawingml/2006/main">
          <a:off x="238785" y="3550994"/>
          <a:ext cx="4514893" cy="257446"/>
        </a:xfrm>
        <a:prstGeom xmlns:a="http://schemas.openxmlformats.org/drawingml/2006/main" prst="rect">
          <a:avLst/>
        </a:prstGeom>
        <a:noFill/>
      </cdr:spPr>
      <cdr:txBody xmlns:a="http://schemas.openxmlformats.org/drawingml/2006/main">
        <a:bodyPr vertOverflow="clip" vert="horz" wrap="square" lIns="45720" tIns="45720" rIns="45720" bIns="45720" rtlCol="0" anchor="t" anchorCtr="0">
          <a:normAutofit/>
        </a:bodyPr>
        <a:lstStyle/>
        <a:p>
          <a:r>
            <a:rPr lang="zh-CN" altLang="en-US" sz="900">
              <a:effectLst/>
              <a:latin typeface="微软雅黑" panose="020B0503020204020204" pitchFamily="2" charset="-122"/>
              <a:ea typeface="微软雅黑" panose="020B0503020204020204" pitchFamily="2" charset="-122"/>
              <a:cs typeface="+mn-cs"/>
            </a:rPr>
            <a:t>数据来源：智联招聘（</a:t>
          </a:r>
          <a:r>
            <a:rPr lang="en-US" altLang="zh-CN" sz="900">
              <a:effectLst/>
              <a:latin typeface="微软雅黑" panose="020B0503020204020204" pitchFamily="2" charset="-122"/>
              <a:ea typeface="微软雅黑" panose="020B0503020204020204" pitchFamily="2" charset="-122"/>
              <a:cs typeface="+mn-cs"/>
            </a:rPr>
            <a:t>www.zhaopin.com</a:t>
          </a:r>
          <a:r>
            <a:rPr lang="zh-CN" altLang="en-US" sz="900">
              <a:effectLst/>
              <a:latin typeface="微软雅黑" panose="020B0503020204020204" pitchFamily="2" charset="-122"/>
              <a:ea typeface="微软雅黑" panose="020B0503020204020204" pitchFamily="2" charset="-122"/>
              <a:cs typeface="+mn-cs"/>
            </a:rPr>
            <a:t>）</a:t>
          </a:r>
          <a:endParaRPr lang="zh-CN" altLang="zh-CN" sz="900">
            <a:effectLst/>
            <a:latin typeface="微软雅黑" panose="020B0503020204020204" pitchFamily="2" charset="-122"/>
            <a:ea typeface="微软雅黑" panose="020B0503020204020204" pitchFamily="2" charset="-122"/>
          </a:endParaRPr>
        </a:p>
      </cdr:txBody>
    </cdr:sp>
  </cdr:relSizeAnchor>
  <cdr:relSizeAnchor xmlns:cdr="http://schemas.openxmlformats.org/drawingml/2006/chartDrawing">
    <cdr:from>
      <cdr:x>0.04079</cdr:x>
      <cdr:y>0.81714</cdr:y>
    </cdr:from>
    <cdr:to>
      <cdr:x>0.17581</cdr:x>
      <cdr:y>0.92381</cdr:y>
    </cdr:to>
    <cdr:sp>
      <cdr:nvSpPr>
        <cdr:cNvPr id="3" name="矩形 2"/>
        <cdr:cNvSpPr/>
      </cdr:nvSpPr>
      <cdr:spPr xmlns:a="http://schemas.openxmlformats.org/drawingml/2006/main">
        <a:xfrm xmlns:a="http://schemas.openxmlformats.org/drawingml/2006/main">
          <a:off x="276226" y="4086225"/>
          <a:ext cx="914400" cy="533400"/>
        </a:xfrm>
        <a:prstGeom xmlns:a="http://schemas.openxmlformats.org/drawingml/2006/main" prst="rect">
          <a:avLst/>
        </a:prstGeom>
      </cdr:spPr>
      <cdr:txBody xmlns:a="http://schemas.openxmlformats.org/drawingml/2006/main">
        <a:bodyPr vertOverflow="clip" vert="horz" wrap="none" lIns="45720" tIns="45720" rIns="45720" bIns="45720" rtlCol="0" anchor="t" anchorCtr="0">
          <a:normAutofit/>
        </a:bodyPr>
        <a:lstStyle/>
        <a:p>
          <a:endParaRPr lang="zh-CN" altLang="en-US" sz="1100"/>
        </a:p>
      </cdr:txBody>
    </cdr:sp>
  </cdr:relSizeAnchor>
  <cdr:relSizeAnchor xmlns:cdr="http://schemas.openxmlformats.org/drawingml/2006/chartDrawing">
    <cdr:from>
      <cdr:x>0.02126</cdr:x>
      <cdr:y>0.83413</cdr:y>
    </cdr:from>
    <cdr:to>
      <cdr:x>0.04595</cdr:x>
      <cdr:y>0.86777</cdr:y>
    </cdr:to>
    <cdr:sp>
      <cdr:nvSpPr>
        <cdr:cNvPr id="4" name="矩形 3"/>
        <cdr:cNvSpPr/>
      </cdr:nvSpPr>
      <cdr:spPr xmlns:a="http://schemas.openxmlformats.org/drawingml/2006/main">
        <a:xfrm xmlns:a="http://schemas.openxmlformats.org/drawingml/2006/main">
          <a:off x="112053" y="3114465"/>
          <a:ext cx="130115" cy="125600"/>
        </a:xfrm>
        <a:prstGeom xmlns:a="http://schemas.openxmlformats.org/drawingml/2006/main" prst="rect">
          <a:avLst/>
        </a:prstGeom>
        <a:solidFill>
          <a:srgbClr val="FDD000"/>
        </a:solidFill>
        <a:l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xmlns:a="http://schemas.openxmlformats.org/drawingml/2006/main">
        <a:bodyPr vertOverflow="clip" vert="horz" wrap="none" lIns="45720" tIns="45720" rIns="45720" bIns="45720" anchor="t" anchorCtr="0">
          <a:normAutofit/>
        </a:bodyPr>
        <a:lstStyle/>
        <a:p>
          <a:endParaRPr lang="zh-CN"/>
        </a:p>
      </cdr:txBody>
    </cdr:sp>
  </cdr:relSizeAnchor>
  <cdr:relSizeAnchor xmlns:cdr="http://schemas.openxmlformats.org/drawingml/2006/chartDrawing">
    <cdr:from>
      <cdr:x>0.01492</cdr:x>
      <cdr:y>0.92534</cdr:y>
    </cdr:from>
    <cdr:to>
      <cdr:x>0.97695</cdr:x>
      <cdr:y>0.92534</cdr:y>
    </cdr:to>
    <cdr:sp>
      <cdr:nvSpPr>
        <cdr:cNvPr id="5" name="直接连接符 4"/>
        <cdr:cNvSpPr/>
      </cdr:nvSpPr>
      <cdr:spPr xmlns:a="http://schemas.openxmlformats.org/drawingml/2006/main">
        <a:xfrm xmlns:a="http://schemas.openxmlformats.org/drawingml/2006/main">
          <a:off x="85081" y="3676628"/>
          <a:ext cx="5486656" cy="0"/>
        </a:xfrm>
        <a:prstGeom xmlns:a="http://schemas.openxmlformats.org/drawingml/2006/main" prst="line">
          <a:avLst/>
        </a:prstGeom>
        <a:l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sp>
  </cdr:relSizeAnchor>
  <cdr:relSizeAnchor xmlns:cdr="http://schemas.openxmlformats.org/drawingml/2006/chartDrawing">
    <cdr:from>
      <cdr:x>0.03938</cdr:x>
      <cdr:y>0.92</cdr:y>
    </cdr:from>
    <cdr:to>
      <cdr:x>0.60095</cdr:x>
      <cdr:y>0.9973</cdr:y>
    </cdr:to>
    <cdr:sp>
      <cdr:nvSpPr>
        <cdr:cNvPr id="6" name="矩形 5"/>
        <cdr:cNvSpPr/>
      </cdr:nvSpPr>
      <cdr:spPr xmlns:a="http://schemas.openxmlformats.org/drawingml/2006/main">
        <a:xfrm xmlns:a="http://schemas.openxmlformats.org/drawingml/2006/main">
          <a:off x="255041" y="3815424"/>
          <a:ext cx="3636952" cy="320579"/>
        </a:xfrm>
        <a:prstGeom xmlns:a="http://schemas.openxmlformats.org/drawingml/2006/main" prst="rect">
          <a:avLst/>
        </a:prstGeom>
      </cdr:spPr>
      <cdr:txBody xmlns:a="http://schemas.openxmlformats.org/drawingml/2006/main">
        <a:bodyPr vertOverflow="clip" vert="horz" wrap="square" lIns="45720" tIns="45720" rIns="45720" bIns="45720" rtlCol="0" anchor="t" anchorCtr="0">
          <a:normAutofit/>
        </a:bodyPr>
        <a:lstStyle/>
        <a:p>
          <a:r>
            <a:rPr lang="en-US" altLang="zh-CN" sz="900">
              <a:effectLst/>
              <a:latin typeface="微软雅黑" panose="020B0503020204020204" pitchFamily="2" charset="-122"/>
              <a:ea typeface="微软雅黑" panose="020B0503020204020204" pitchFamily="2" charset="-122"/>
              <a:cs typeface="+mn-cs"/>
            </a:rPr>
            <a:t>Copyright©2021</a:t>
          </a:r>
          <a:r>
            <a:rPr lang="zh-CN" altLang="en-US" sz="900" baseline="0">
              <a:effectLst/>
              <a:latin typeface="微软雅黑" panose="020B0503020204020204" pitchFamily="2" charset="-122"/>
              <a:ea typeface="微软雅黑" panose="020B0503020204020204" pitchFamily="2" charset="-122"/>
              <a:cs typeface="+mn-cs"/>
            </a:rPr>
            <a:t> </a:t>
          </a:r>
          <a:r>
            <a:rPr lang="en-US" altLang="zh-CN" sz="900">
              <a:effectLst/>
              <a:latin typeface="微软雅黑" panose="020B0503020204020204" pitchFamily="2" charset="-122"/>
              <a:ea typeface="微软雅黑" panose="020B0503020204020204" pitchFamily="2" charset="-122"/>
              <a:cs typeface="+mn-cs"/>
            </a:rPr>
            <a:t>zhaopin all rights reserved</a:t>
          </a:r>
          <a:endParaRPr lang="zh-CN" altLang="zh-CN" sz="900">
            <a:effectLst/>
            <a:latin typeface="微软雅黑" panose="020B0503020204020204" pitchFamily="2" charset="-122"/>
            <a:ea typeface="微软雅黑" panose="020B0503020204020204" pitchFamily="2" charset="-122"/>
          </a:endParaRPr>
        </a:p>
      </cdr:txBody>
    </cdr:sp>
  </cdr:relSizeAnchor>
  <cdr:relSizeAnchor xmlns:cdr="http://schemas.openxmlformats.org/drawingml/2006/chartDrawing">
    <cdr:from>
      <cdr:x>0.03787</cdr:x>
      <cdr:y>0.81497</cdr:y>
    </cdr:from>
    <cdr:to>
      <cdr:x>0.8604</cdr:x>
      <cdr:y>0.87152</cdr:y>
    </cdr:to>
    <cdr:sp>
      <cdr:nvSpPr>
        <cdr:cNvPr id="7" name="矩形 6"/>
        <cdr:cNvSpPr/>
      </cdr:nvSpPr>
      <cdr:spPr xmlns:a="http://schemas.openxmlformats.org/drawingml/2006/main">
        <a:xfrm xmlns:a="http://schemas.openxmlformats.org/drawingml/2006/main">
          <a:off x="199605" y="3042928"/>
          <a:ext cx="4335144" cy="211146"/>
        </a:xfrm>
        <a:prstGeom xmlns:a="http://schemas.openxmlformats.org/drawingml/2006/main" prst="rect">
          <a:avLst/>
        </a:prstGeom>
        <a:noFill/>
      </cdr:spPr>
      <cdr:txBody xmlns:a="http://schemas.openxmlformats.org/drawingml/2006/main">
        <a:bodyPr vertOverflow="clip" vert="horz" wrap="square" lIns="45720" tIns="45720" rIns="45720" bIns="45720" rtlCol="0" anchor="t" anchorCtr="0">
          <a:normAutofit/>
        </a:bodyPr>
        <a:lstStyle/>
        <a:p>
          <a:r>
            <a:rPr lang="zh-CN" altLang="en-US" sz="900">
              <a:latin typeface="微软雅黑" panose="020B0503020204020204" pitchFamily="2" charset="-122"/>
              <a:ea typeface="微软雅黑" panose="020B0503020204020204" pitchFamily="2" charset="-122"/>
            </a:rPr>
            <a:t>统计规则：基于智联招聘</a:t>
          </a:r>
          <a:r>
            <a:rPr lang="en-US" altLang="zh-CN" sz="900">
              <a:latin typeface="微软雅黑" panose="020B0503020204020204" pitchFamily="2" charset="-122"/>
              <a:ea typeface="微软雅黑" panose="020B0503020204020204" pitchFamily="2" charset="-122"/>
            </a:rPr>
            <a:t>2021</a:t>
          </a:r>
          <a:r>
            <a:rPr lang="zh-CN" altLang="en-US" sz="900">
              <a:latin typeface="微软雅黑" panose="020B0503020204020204" pitchFamily="2" charset="-122"/>
              <a:ea typeface="微软雅黑" panose="020B0503020204020204" pitchFamily="2" charset="-122"/>
            </a:rPr>
            <a:t>年在线招聘数据库的数据监测统计分析</a:t>
          </a:r>
          <a:endParaRPr lang="zh-CN" altLang="en-US" sz="900">
            <a:latin typeface="微软雅黑" panose="020B0503020204020204" pitchFamily="2" charset="-122"/>
            <a:ea typeface="微软雅黑" panose="020B0503020204020204" pitchFamily="2" charset="-122"/>
          </a:endParaRPr>
        </a:p>
      </cdr:txBody>
    </cdr:sp>
  </cdr:relSizeAnchor>
  <cdr:relSizeAnchor xmlns:cdr="http://schemas.openxmlformats.org/drawingml/2006/chartDrawing">
    <cdr:from>
      <cdr:x>0.05941</cdr:x>
      <cdr:y>0.09727</cdr:y>
    </cdr:from>
    <cdr:to>
      <cdr:x>0.11292</cdr:x>
      <cdr:y>0.37329</cdr:y>
    </cdr:to>
    <cdr:sp>
      <cdr:nvSpPr>
        <cdr:cNvPr id="8" name="矩形 7"/>
        <cdr:cNvSpPr/>
      </cdr:nvSpPr>
      <cdr:spPr xmlns:a="http://schemas.openxmlformats.org/drawingml/2006/main">
        <a:xfrm xmlns:a="http://schemas.openxmlformats.org/drawingml/2006/main">
          <a:off x="340784" y="391583"/>
          <a:ext cx="306917" cy="1111250"/>
        </a:xfrm>
        <a:prstGeom xmlns:a="http://schemas.openxmlformats.org/drawingml/2006/main" prst="rect">
          <a:avLst/>
        </a:prstGeom>
      </cdr:spPr>
      <cdr:txBody xmlns:a="http://schemas.openxmlformats.org/drawingml/2006/main">
        <a:bodyPr vertOverflow="clip" vert="eaVert" wrap="square" lIns="45720" tIns="45720" rIns="45720" bIns="45720" rtlCol="0" anchor="t" anchorCtr="0">
          <a:normAutofit/>
        </a:bodyPr>
        <a:lstStyle/>
        <a:p>
          <a:r>
            <a:rPr lang="zh-CN" altLang="en-US" sz="900">
              <a:latin typeface="微软雅黑" panose="020B0503020204020204" pitchFamily="2" charset="-122"/>
              <a:ea typeface="微软雅黑" panose="020B0503020204020204" pitchFamily="2" charset="-122"/>
            </a:rPr>
            <a:t>单位：元</a:t>
          </a:r>
          <a:r>
            <a:rPr lang="en-US" altLang="zh-CN" sz="900">
              <a:latin typeface="微软雅黑" panose="020B0503020204020204" pitchFamily="2" charset="-122"/>
              <a:ea typeface="微软雅黑" panose="020B0503020204020204" pitchFamily="2" charset="-122"/>
            </a:rPr>
            <a:t>/</a:t>
          </a:r>
          <a:r>
            <a:rPr lang="zh-CN" altLang="en-US" sz="900">
              <a:latin typeface="微软雅黑" panose="020B0503020204020204" pitchFamily="2" charset="-122"/>
              <a:ea typeface="微软雅黑" panose="020B0503020204020204" pitchFamily="2" charset="-122"/>
            </a:rPr>
            <a:t>月</a:t>
          </a:r>
          <a:endParaRPr lang="zh-CN" altLang="en-US" sz="900">
            <a:latin typeface="微软雅黑" panose="020B0503020204020204" pitchFamily="2" charset="-122"/>
            <a:ea typeface="微软雅黑" panose="020B0503020204020204" pitchFamily="2" charset="-122"/>
          </a:endParaRPr>
        </a:p>
      </cdr:txBody>
    </cdr:sp>
  </cdr:relSizeAnchor>
  <cdr:relSizeAnchor xmlns:cdr="http://schemas.openxmlformats.org/drawingml/2006/chartDrawing">
    <cdr:from>
      <cdr:x>0.04079</cdr:x>
      <cdr:y>0.81714</cdr:y>
    </cdr:from>
    <cdr:to>
      <cdr:x>0.17581</cdr:x>
      <cdr:y>0.92381</cdr:y>
    </cdr:to>
    <cdr:sp>
      <cdr:nvSpPr>
        <cdr:cNvPr id="9" name="矩形 8"/>
        <cdr:cNvSpPr/>
      </cdr:nvSpPr>
      <cdr:spPr xmlns:a="http://schemas.openxmlformats.org/drawingml/2006/main">
        <a:xfrm xmlns:a="http://schemas.openxmlformats.org/drawingml/2006/main">
          <a:off x="276226" y="4086225"/>
          <a:ext cx="914400" cy="533400"/>
        </a:xfrm>
        <a:prstGeom xmlns:a="http://schemas.openxmlformats.org/drawingml/2006/main" prst="rect">
          <a:avLst/>
        </a:prstGeom>
      </cdr:spPr>
      <cdr:txBody xmlns:a="http://schemas.openxmlformats.org/drawingml/2006/main">
        <a:bodyPr vertOverflow="clip" vert="horz" wrap="none" lIns="45720" tIns="45720" rIns="45720" bIns="45720" rtlCol="0" anchor="t" anchorCtr="0">
          <a:normAutofit/>
        </a:bodyPr>
        <a:lstStyle/>
        <a:p>
          <a:endParaRPr lang="zh-CN" altLang="en-US" sz="1100"/>
        </a:p>
      </cdr:txBody>
    </cdr:sp>
  </cdr:relSizeAnchor>
  <cdr:relSizeAnchor xmlns:cdr="http://schemas.openxmlformats.org/drawingml/2006/chartDrawing">
    <cdr:from>
      <cdr:x>0.04079</cdr:x>
      <cdr:y>0.81714</cdr:y>
    </cdr:from>
    <cdr:to>
      <cdr:x>0.17581</cdr:x>
      <cdr:y>0.92381</cdr:y>
    </cdr:to>
    <cdr:sp>
      <cdr:nvSpPr>
        <cdr:cNvPr id="10" name="矩形 9"/>
        <cdr:cNvSpPr/>
      </cdr:nvSpPr>
      <cdr:spPr xmlns:a="http://schemas.openxmlformats.org/drawingml/2006/main">
        <a:xfrm xmlns:a="http://schemas.openxmlformats.org/drawingml/2006/main">
          <a:off x="276226" y="4086225"/>
          <a:ext cx="914400" cy="533400"/>
        </a:xfrm>
        <a:prstGeom xmlns:a="http://schemas.openxmlformats.org/drawingml/2006/main" prst="rect">
          <a:avLst/>
        </a:prstGeom>
      </cdr:spPr>
      <cdr:txBody xmlns:a="http://schemas.openxmlformats.org/drawingml/2006/main">
        <a:bodyPr vertOverflow="clip" vert="horz" wrap="none" lIns="45720" tIns="45720" rIns="45720" bIns="45720" rtlCol="0" anchor="t" anchorCtr="0">
          <a:normAutofit/>
        </a:bodyPr>
        <a:lstStyle/>
        <a:p>
          <a:endParaRPr lang="zh-CN" altLang="en-US" sz="1100"/>
        </a:p>
      </cdr:txBody>
    </cdr:sp>
  </cdr:relSizeAnchor>
  <cdr:relSizeAnchor xmlns:cdr="http://schemas.openxmlformats.org/drawingml/2006/chartDrawing">
    <cdr:from>
      <cdr:x>0.83884</cdr:x>
      <cdr:y>0.85323</cdr:y>
    </cdr:from>
    <cdr:to>
      <cdr:x>0.97409</cdr:x>
      <cdr:y>0.91581</cdr:y>
    </cdr:to>
    <cdr:pic xmlns:a="http://schemas.openxmlformats.org/drawingml/2006/main">
      <cdr:nvPicPr>
        <cdr:cNvPr id="11" name="图片 10"/>
        <cdr:cNvPicPr/>
      </cdr:nvPicPr>
      <cdr:blipFill>
        <a:blip xmlns:r="http://schemas.openxmlformats.org/officeDocument/2006/relationships" r:embed="rId1">
          <a:extLst>
            <a:ext uri="{28A0092B-C50C-407E-A947-70E740481C1C}">
              <a14:useLocalDpi xmlns:a14="http://schemas.microsoft.com/office/drawing/2010/main" val="0"/>
            </a:ext>
          </a:extLst>
        </a:blip>
        <a:srcRect/>
        <a:stretch>
          <a:fillRect/>
        </a:stretch>
      </cdr:blipFill>
      <cdr:spPr>
        <a:xfrm>
          <a:off x="4421120" y="3185786"/>
          <a:ext cx="712822" cy="233665"/>
        </a:xfrm>
        <a:prstGeom prst="rect">
          <a:avLst/>
        </a:prstGeom>
      </cdr:spPr>
    </cdr:pic>
  </cdr:relSizeAnchor>
  <cdr:relSizeAnchor xmlns:cdr="http://schemas.openxmlformats.org/drawingml/2006/chartDrawing">
    <cdr:from>
      <cdr:x>0.02221</cdr:x>
      <cdr:y>0.88202</cdr:y>
    </cdr:from>
    <cdr:to>
      <cdr:x>0.04337</cdr:x>
      <cdr:y>0.91199</cdr:y>
    </cdr:to>
    <cdr:sp>
      <cdr:nvSpPr>
        <cdr:cNvPr id="12" name="矩形 11"/>
        <cdr:cNvSpPr/>
      </cdr:nvSpPr>
      <cdr:spPr xmlns:a="http://schemas.openxmlformats.org/drawingml/2006/main">
        <a:xfrm xmlns:a="http://schemas.openxmlformats.org/drawingml/2006/main">
          <a:off x="117077" y="3293269"/>
          <a:ext cx="111524" cy="111906"/>
        </a:xfrm>
        <a:prstGeom xmlns:a="http://schemas.openxmlformats.org/drawingml/2006/main" prst="rect">
          <a:avLst/>
        </a:prstGeom>
        <a:solidFill>
          <a:srgbClr val="0038EE"/>
        </a:solidFill>
        <a:ln>
          <a:solidFill>
            <a:srgbClr val="0038EE"/>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xmlns:a="http://schemas.openxmlformats.org/drawingml/2006/main">
        <a:bodyPr vert="horz" wrap="none" lIns="45720" tIns="45720" rIns="45720" bIns="45720" anchor="t" anchorCtr="0">
          <a:normAutofit/>
        </a:bodyP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endParaRPr lang="zh-CN"/>
        </a:p>
      </cdr:txBody>
    </cdr:sp>
  </cdr:relSizeAnchor>
</c:userShapes>
</file>

<file path=word/drawings/drawing3.xml><?xml version="1.0" encoding="utf-8"?>
<c:userShapes xmlns:c="http://schemas.openxmlformats.org/drawingml/2006/chart">
  <cdr:relSizeAnchor xmlns:cdr="http://schemas.openxmlformats.org/drawingml/2006/chartDrawing">
    <cdr:from>
      <cdr:x>0.03687</cdr:x>
      <cdr:y>0.85821</cdr:y>
    </cdr:from>
    <cdr:to>
      <cdr:x>0.734</cdr:x>
      <cdr:y>0.92043</cdr:y>
    </cdr:to>
    <cdr:sp>
      <cdr:nvSpPr>
        <cdr:cNvPr id="2" name="矩形 1"/>
        <cdr:cNvSpPr/>
      </cdr:nvSpPr>
      <cdr:spPr xmlns:a="http://schemas.openxmlformats.org/drawingml/2006/main">
        <a:xfrm xmlns:a="http://schemas.openxmlformats.org/drawingml/2006/main">
          <a:off x="238785" y="3550994"/>
          <a:ext cx="4514893" cy="257446"/>
        </a:xfrm>
        <a:prstGeom xmlns:a="http://schemas.openxmlformats.org/drawingml/2006/main" prst="rect">
          <a:avLst/>
        </a:prstGeom>
        <a:noFill/>
      </cdr:spPr>
      <cdr:txBody xmlns:a="http://schemas.openxmlformats.org/drawingml/2006/main">
        <a:bodyPr vertOverflow="clip" vert="horz" wrap="square" lIns="45720" tIns="45720" rIns="45720" bIns="45720" rtlCol="0" anchor="t" anchorCtr="0">
          <a:normAutofit/>
        </a:bodyPr>
        <a:lstStyle/>
        <a:p>
          <a:r>
            <a:rPr lang="zh-CN" altLang="en-US" sz="900">
              <a:effectLst/>
              <a:latin typeface="微软雅黑" panose="020B0503020204020204" pitchFamily="2" charset="-122"/>
              <a:ea typeface="微软雅黑" panose="020B0503020204020204" pitchFamily="2" charset="-122"/>
              <a:cs typeface="+mn-cs"/>
            </a:rPr>
            <a:t>数据来源：智联招聘（</a:t>
          </a:r>
          <a:r>
            <a:rPr lang="en-US" altLang="zh-CN" sz="900">
              <a:effectLst/>
              <a:latin typeface="微软雅黑" panose="020B0503020204020204" pitchFamily="2" charset="-122"/>
              <a:ea typeface="微软雅黑" panose="020B0503020204020204" pitchFamily="2" charset="-122"/>
              <a:cs typeface="+mn-cs"/>
            </a:rPr>
            <a:t>www.zhaopin.com</a:t>
          </a:r>
          <a:r>
            <a:rPr lang="zh-CN" altLang="en-US" sz="900">
              <a:effectLst/>
              <a:latin typeface="微软雅黑" panose="020B0503020204020204" pitchFamily="2" charset="-122"/>
              <a:ea typeface="微软雅黑" panose="020B0503020204020204" pitchFamily="2" charset="-122"/>
              <a:cs typeface="+mn-cs"/>
            </a:rPr>
            <a:t>）</a:t>
          </a:r>
          <a:endParaRPr lang="zh-CN" altLang="zh-CN" sz="900">
            <a:effectLst/>
            <a:latin typeface="微软雅黑" panose="020B0503020204020204" pitchFamily="2" charset="-122"/>
            <a:ea typeface="微软雅黑" panose="020B0503020204020204" pitchFamily="2" charset="-122"/>
          </a:endParaRPr>
        </a:p>
      </cdr:txBody>
    </cdr:sp>
  </cdr:relSizeAnchor>
  <cdr:relSizeAnchor xmlns:cdr="http://schemas.openxmlformats.org/drawingml/2006/chartDrawing">
    <cdr:from>
      <cdr:x>0.04079</cdr:x>
      <cdr:y>0.81714</cdr:y>
    </cdr:from>
    <cdr:to>
      <cdr:x>0.17581</cdr:x>
      <cdr:y>0.92381</cdr:y>
    </cdr:to>
    <cdr:sp>
      <cdr:nvSpPr>
        <cdr:cNvPr id="3" name="矩形 2"/>
        <cdr:cNvSpPr/>
      </cdr:nvSpPr>
      <cdr:spPr xmlns:a="http://schemas.openxmlformats.org/drawingml/2006/main">
        <a:xfrm xmlns:a="http://schemas.openxmlformats.org/drawingml/2006/main">
          <a:off x="276226" y="4086225"/>
          <a:ext cx="914400" cy="533400"/>
        </a:xfrm>
        <a:prstGeom xmlns:a="http://schemas.openxmlformats.org/drawingml/2006/main" prst="rect">
          <a:avLst/>
        </a:prstGeom>
      </cdr:spPr>
      <cdr:txBody xmlns:a="http://schemas.openxmlformats.org/drawingml/2006/main">
        <a:bodyPr vertOverflow="clip" vert="horz" wrap="none" lIns="45720" tIns="45720" rIns="45720" bIns="45720" rtlCol="0" anchor="t" anchorCtr="0">
          <a:normAutofit/>
        </a:bodyPr>
        <a:lstStyle/>
        <a:p>
          <a:endParaRPr lang="zh-CN" altLang="en-US" sz="1100"/>
        </a:p>
      </cdr:txBody>
    </cdr:sp>
  </cdr:relSizeAnchor>
  <cdr:relSizeAnchor xmlns:cdr="http://schemas.openxmlformats.org/drawingml/2006/chartDrawing">
    <cdr:from>
      <cdr:x>0.01969</cdr:x>
      <cdr:y>0.92762</cdr:y>
    </cdr:from>
    <cdr:to>
      <cdr:x>0.98172</cdr:x>
      <cdr:y>0.92762</cdr:y>
    </cdr:to>
    <cdr:sp>
      <cdr:nvSpPr>
        <cdr:cNvPr id="4" name="直接连接符 3"/>
        <cdr:cNvSpPr/>
      </cdr:nvSpPr>
      <cdr:spPr xmlns:a="http://schemas.openxmlformats.org/drawingml/2006/main">
        <a:xfrm xmlns:a="http://schemas.openxmlformats.org/drawingml/2006/main">
          <a:off x="115529" y="4241079"/>
          <a:ext cx="6542011" cy="0"/>
        </a:xfrm>
        <a:prstGeom xmlns:a="http://schemas.openxmlformats.org/drawingml/2006/main" prst="line">
          <a:avLst/>
        </a:prstGeom>
        <a:l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sp>
  </cdr:relSizeAnchor>
  <cdr:relSizeAnchor xmlns:cdr="http://schemas.openxmlformats.org/drawingml/2006/chartDrawing">
    <cdr:from>
      <cdr:x>0.04079</cdr:x>
      <cdr:y>0.81714</cdr:y>
    </cdr:from>
    <cdr:to>
      <cdr:x>0.17581</cdr:x>
      <cdr:y>0.92381</cdr:y>
    </cdr:to>
    <cdr:sp>
      <cdr:nvSpPr>
        <cdr:cNvPr id="5" name="矩形 4"/>
        <cdr:cNvSpPr/>
      </cdr:nvSpPr>
      <cdr:spPr xmlns:a="http://schemas.openxmlformats.org/drawingml/2006/main">
        <a:xfrm xmlns:a="http://schemas.openxmlformats.org/drawingml/2006/main">
          <a:off x="276226" y="4086225"/>
          <a:ext cx="914400" cy="533400"/>
        </a:xfrm>
        <a:prstGeom xmlns:a="http://schemas.openxmlformats.org/drawingml/2006/main" prst="rect">
          <a:avLst/>
        </a:prstGeom>
      </cdr:spPr>
      <cdr:txBody xmlns:a="http://schemas.openxmlformats.org/drawingml/2006/main">
        <a:bodyPr vertOverflow="clip" vert="horz" wrap="none" lIns="45720" tIns="45720" rIns="45720" bIns="45720" rtlCol="0" anchor="t" anchorCtr="0">
          <a:normAutofit/>
        </a:bodyPr>
        <a:lstStyle/>
        <a:p>
          <a:endParaRPr lang="zh-CN" altLang="en-US" sz="1100"/>
        </a:p>
      </cdr:txBody>
    </cdr:sp>
  </cdr:relSizeAnchor>
  <cdr:relSizeAnchor xmlns:cdr="http://schemas.openxmlformats.org/drawingml/2006/chartDrawing">
    <cdr:from>
      <cdr:x>0.01834</cdr:x>
      <cdr:y>0.83068</cdr:y>
    </cdr:from>
    <cdr:to>
      <cdr:x>0.03946</cdr:x>
      <cdr:y>0.86367</cdr:y>
    </cdr:to>
    <cdr:sp>
      <cdr:nvSpPr>
        <cdr:cNvPr id="6" name="矩形 5"/>
        <cdr:cNvSpPr/>
      </cdr:nvSpPr>
      <cdr:spPr xmlns:a="http://schemas.openxmlformats.org/drawingml/2006/main">
        <a:xfrm xmlns:a="http://schemas.openxmlformats.org/drawingml/2006/main">
          <a:off x="96661" y="3365338"/>
          <a:ext cx="111313" cy="133652"/>
        </a:xfrm>
        <a:prstGeom xmlns:a="http://schemas.openxmlformats.org/drawingml/2006/main" prst="rect">
          <a:avLst/>
        </a:prstGeom>
        <a:solidFill>
          <a:schemeClr val="accent4">
            <a:lumMod val="60000"/>
            <a:lumOff val="40000"/>
          </a:schemeClr>
        </a:solidFill>
        <a:l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xmlns:a="http://schemas.openxmlformats.org/drawingml/2006/main">
        <a:bodyPr vertOverflow="clip" vert="horz" wrap="none" lIns="45720" tIns="45720" rIns="45720" bIns="45720" anchor="t" anchorCtr="0">
          <a:normAutofit/>
        </a:bodyPr>
        <a:lstStyle/>
        <a:p>
          <a:endParaRPr lang="zh-CN"/>
        </a:p>
      </cdr:txBody>
    </cdr:sp>
  </cdr:relSizeAnchor>
  <cdr:relSizeAnchor xmlns:cdr="http://schemas.openxmlformats.org/drawingml/2006/chartDrawing">
    <cdr:from>
      <cdr:x>0.01834</cdr:x>
      <cdr:y>0.88259</cdr:y>
    </cdr:from>
    <cdr:to>
      <cdr:x>0.03946</cdr:x>
      <cdr:y>0.91558</cdr:y>
    </cdr:to>
    <cdr:sp>
      <cdr:nvSpPr>
        <cdr:cNvPr id="7" name="矩形 6"/>
        <cdr:cNvSpPr/>
      </cdr:nvSpPr>
      <cdr:spPr xmlns:a="http://schemas.openxmlformats.org/drawingml/2006/main">
        <a:xfrm xmlns:a="http://schemas.openxmlformats.org/drawingml/2006/main">
          <a:off x="96661" y="3575655"/>
          <a:ext cx="111313" cy="133652"/>
        </a:xfrm>
        <a:prstGeom xmlns:a="http://schemas.openxmlformats.org/drawingml/2006/main" prst="rect">
          <a:avLst/>
        </a:prstGeom>
        <a:solidFill>
          <a:srgbClr val="1B45F6"/>
        </a:solidFill>
        <a:l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xmlns:a="http://schemas.openxmlformats.org/drawingml/2006/main">
        <a:bodyPr vertOverflow="clip" vert="horz" wrap="none" lIns="45720" tIns="45720" rIns="45720" bIns="45720" anchor="t" anchorCtr="0">
          <a:normAutofit/>
        </a:bodyPr>
        <a:lstStyle/>
        <a:p>
          <a:endParaRPr lang="zh-CN"/>
        </a:p>
      </cdr:txBody>
    </cdr:sp>
  </cdr:relSizeAnchor>
  <cdr:relSizeAnchor xmlns:cdr="http://schemas.openxmlformats.org/drawingml/2006/chartDrawing">
    <cdr:from>
      <cdr:x>0.01969</cdr:x>
      <cdr:y>0.92762</cdr:y>
    </cdr:from>
    <cdr:to>
      <cdr:x>0.98172</cdr:x>
      <cdr:y>0.92762</cdr:y>
    </cdr:to>
    <cdr:sp>
      <cdr:nvSpPr>
        <cdr:cNvPr id="8" name="直接连接符 7"/>
        <cdr:cNvSpPr/>
      </cdr:nvSpPr>
      <cdr:spPr xmlns:a="http://schemas.openxmlformats.org/drawingml/2006/main">
        <a:xfrm xmlns:a="http://schemas.openxmlformats.org/drawingml/2006/main">
          <a:off x="115529" y="4241079"/>
          <a:ext cx="6542011" cy="0"/>
        </a:xfrm>
        <a:prstGeom xmlns:a="http://schemas.openxmlformats.org/drawingml/2006/main" prst="line">
          <a:avLst/>
        </a:prstGeom>
        <a:l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sp>
  </cdr:relSizeAnchor>
  <cdr:relSizeAnchor xmlns:cdr="http://schemas.openxmlformats.org/drawingml/2006/chartDrawing">
    <cdr:from>
      <cdr:x>0.02647</cdr:x>
      <cdr:y>0.9171</cdr:y>
    </cdr:from>
    <cdr:to>
      <cdr:x>0.58804</cdr:x>
      <cdr:y>0.9944</cdr:y>
    </cdr:to>
    <cdr:sp>
      <cdr:nvSpPr>
        <cdr:cNvPr id="9" name="矩形 8"/>
        <cdr:cNvSpPr/>
      </cdr:nvSpPr>
      <cdr:spPr xmlns:a="http://schemas.openxmlformats.org/drawingml/2006/main">
        <a:xfrm xmlns:a="http://schemas.openxmlformats.org/drawingml/2006/main">
          <a:off x="156275" y="4161936"/>
          <a:ext cx="3315163" cy="350798"/>
        </a:xfrm>
        <a:prstGeom xmlns:a="http://schemas.openxmlformats.org/drawingml/2006/main" prst="rect">
          <a:avLst/>
        </a:prstGeom>
      </cdr:spPr>
      <cdr:txBody xmlns:a="http://schemas.openxmlformats.org/drawingml/2006/main">
        <a:bodyPr vertOverflow="clip" vert="horz" wrap="square" lIns="45720" tIns="45720" rIns="45720" bIns="45720" rtlCol="0" anchor="t" anchorCtr="0">
          <a:normAutofit/>
        </a:bodyPr>
        <a:lstStyle/>
        <a:p>
          <a:r>
            <a:rPr lang="en-US" altLang="zh-CN" sz="900">
              <a:effectLst/>
              <a:latin typeface="微软雅黑" panose="020B0503020204020204" pitchFamily="2" charset="-122"/>
              <a:ea typeface="微软雅黑" panose="020B0503020204020204" pitchFamily="2" charset="-122"/>
              <a:cs typeface="+mn-cs"/>
            </a:rPr>
            <a:t>Copyright©2021 zhaopin all rights reserved</a:t>
          </a:r>
          <a:endParaRPr lang="zh-CN" altLang="zh-CN" sz="900">
            <a:effectLst/>
            <a:latin typeface="微软雅黑" panose="020B0503020204020204" pitchFamily="2" charset="-122"/>
            <a:ea typeface="微软雅黑" panose="020B0503020204020204" pitchFamily="2" charset="-122"/>
          </a:endParaRPr>
        </a:p>
      </cdr:txBody>
    </cdr:sp>
  </cdr:relSizeAnchor>
  <cdr:relSizeAnchor xmlns:cdr="http://schemas.openxmlformats.org/drawingml/2006/chartDrawing">
    <cdr:from>
      <cdr:x>0.03687</cdr:x>
      <cdr:y>0.81407</cdr:y>
    </cdr:from>
    <cdr:to>
      <cdr:x>0.8594</cdr:x>
      <cdr:y>0.87062</cdr:y>
    </cdr:to>
    <cdr:sp>
      <cdr:nvSpPr>
        <cdr:cNvPr id="10" name="矩形 9"/>
        <cdr:cNvSpPr/>
      </cdr:nvSpPr>
      <cdr:spPr xmlns:a="http://schemas.openxmlformats.org/drawingml/2006/main">
        <a:xfrm xmlns:a="http://schemas.openxmlformats.org/drawingml/2006/main">
          <a:off x="217658" y="3694338"/>
          <a:ext cx="4855709" cy="256632"/>
        </a:xfrm>
        <a:prstGeom xmlns:a="http://schemas.openxmlformats.org/drawingml/2006/main" prst="rect">
          <a:avLst/>
        </a:prstGeom>
        <a:noFill/>
      </cdr:spPr>
      <cdr:txBody xmlns:a="http://schemas.openxmlformats.org/drawingml/2006/main">
        <a:bodyPr vertOverflow="clip" vert="horz" wrap="square" lIns="45720" tIns="45720" rIns="45720" bIns="45720" rtlCol="0" anchor="t" anchorCtr="0">
          <a:normAutofit/>
        </a:bodyPr>
        <a:lstStyle/>
        <a:p>
          <a:r>
            <a:rPr lang="zh-CN" altLang="en-US" sz="900">
              <a:latin typeface="微软雅黑" panose="020B0503020204020204" pitchFamily="2" charset="-122"/>
              <a:ea typeface="微软雅黑" panose="020B0503020204020204" pitchFamily="2" charset="-122"/>
            </a:rPr>
            <a:t>统计规则：基于智联招聘</a:t>
          </a:r>
          <a:r>
            <a:rPr lang="en-US" altLang="zh-CN" sz="900">
              <a:latin typeface="微软雅黑" panose="020B0503020204020204" pitchFamily="2" charset="-122"/>
              <a:ea typeface="微软雅黑" panose="020B0503020204020204" pitchFamily="2" charset="-122"/>
            </a:rPr>
            <a:t>2021</a:t>
          </a:r>
          <a:r>
            <a:rPr lang="zh-CN" altLang="en-US" sz="900">
              <a:latin typeface="微软雅黑" panose="020B0503020204020204" pitchFamily="2" charset="-122"/>
              <a:ea typeface="微软雅黑" panose="020B0503020204020204" pitchFamily="2" charset="-122"/>
            </a:rPr>
            <a:t>年在线招聘数据库的数据监测统计分析</a:t>
          </a:r>
          <a:endParaRPr lang="zh-CN" altLang="en-US" sz="900">
            <a:latin typeface="微软雅黑" panose="020B0503020204020204" pitchFamily="2" charset="-122"/>
            <a:ea typeface="微软雅黑" panose="020B0503020204020204" pitchFamily="2" charset="-122"/>
          </a:endParaRPr>
        </a:p>
      </cdr:txBody>
    </cdr:sp>
  </cdr:relSizeAnchor>
  <cdr:relSizeAnchor xmlns:cdr="http://schemas.openxmlformats.org/drawingml/2006/chartDrawing">
    <cdr:from>
      <cdr:x>0.82383</cdr:x>
      <cdr:y>0.85713</cdr:y>
    </cdr:from>
    <cdr:to>
      <cdr:x>0.97731</cdr:x>
      <cdr:y>0.91282</cdr:y>
    </cdr:to>
    <cdr:pic xmlns:a="http://schemas.openxmlformats.org/drawingml/2006/main">
      <cdr:nvPicPr>
        <cdr:cNvPr id="11" name="图片 10"/>
        <cdr:cNvPicPr/>
      </cdr:nvPicPr>
      <cdr:blipFill>
        <a:blip xmlns:r="http://schemas.openxmlformats.org/officeDocument/2006/relationships" r:embed="rId1">
          <a:extLst>
            <a:ext uri="{28A0092B-C50C-407E-A947-70E740481C1C}">
              <a14:useLocalDpi xmlns:a14="http://schemas.microsoft.com/office/drawing/2010/main" val="0"/>
            </a:ext>
          </a:extLst>
        </a:blip>
        <a:srcRect/>
        <a:stretch>
          <a:fillRect/>
        </a:stretch>
      </cdr:blipFill>
      <cdr:spPr>
        <a:xfrm>
          <a:off x="4341998" y="3472476"/>
          <a:ext cx="808914" cy="225632"/>
        </a:xfrm>
        <a:prstGeom prst="rect">
          <a:avLst/>
        </a:prstGeom>
      </cdr:spPr>
    </cdr:pic>
  </cdr:relSizeAnchor>
</c:userShapes>
</file>

<file path=word/drawings/drawing4.xml><?xml version="1.0" encoding="utf-8"?>
<c:userShapes xmlns:c="http://schemas.openxmlformats.org/drawingml/2006/chart">
  <cdr:relSizeAnchor xmlns:cdr="http://schemas.openxmlformats.org/drawingml/2006/chartDrawing">
    <cdr:from>
      <cdr:x>0.03687</cdr:x>
      <cdr:y>0.86227</cdr:y>
    </cdr:from>
    <cdr:to>
      <cdr:x>0.734</cdr:x>
      <cdr:y>0.92043</cdr:y>
    </cdr:to>
    <cdr:sp>
      <cdr:nvSpPr>
        <cdr:cNvPr id="2" name="矩形 1"/>
        <cdr:cNvSpPr/>
      </cdr:nvSpPr>
      <cdr:spPr xmlns:a="http://schemas.openxmlformats.org/drawingml/2006/main">
        <a:xfrm xmlns:a="http://schemas.openxmlformats.org/drawingml/2006/main">
          <a:off x="194323" y="3437466"/>
          <a:ext cx="3674224" cy="231856"/>
        </a:xfrm>
        <a:prstGeom xmlns:a="http://schemas.openxmlformats.org/drawingml/2006/main" prst="rect">
          <a:avLst/>
        </a:prstGeom>
        <a:noFill/>
      </cdr:spPr>
      <cdr:txBody xmlns:a="http://schemas.openxmlformats.org/drawingml/2006/main">
        <a:bodyPr vertOverflow="clip" vert="horz" wrap="square" lIns="45720" tIns="45720" rIns="45720" bIns="45720" rtlCol="0" anchor="t" anchorCtr="0">
          <a:normAutofit/>
        </a:bodyPr>
        <a:lstStyle/>
        <a:p>
          <a:r>
            <a:rPr lang="zh-CN" altLang="en-US" sz="900">
              <a:effectLst/>
              <a:latin typeface="微软雅黑" panose="020B0503020204020204" pitchFamily="2" charset="-122"/>
              <a:ea typeface="微软雅黑" panose="020B0503020204020204" pitchFamily="2" charset="-122"/>
              <a:cs typeface="+mn-cs"/>
            </a:rPr>
            <a:t>数据来源：智联招聘（</a:t>
          </a:r>
          <a:r>
            <a:rPr lang="en-US" altLang="zh-CN" sz="900">
              <a:effectLst/>
              <a:latin typeface="微软雅黑" panose="020B0503020204020204" pitchFamily="2" charset="-122"/>
              <a:ea typeface="微软雅黑" panose="020B0503020204020204" pitchFamily="2" charset="-122"/>
              <a:cs typeface="+mn-cs"/>
            </a:rPr>
            <a:t>www.zhaopin.com</a:t>
          </a:r>
          <a:r>
            <a:rPr lang="zh-CN" altLang="en-US" sz="900">
              <a:effectLst/>
              <a:latin typeface="微软雅黑" panose="020B0503020204020204" pitchFamily="2" charset="-122"/>
              <a:ea typeface="微软雅黑" panose="020B0503020204020204" pitchFamily="2" charset="-122"/>
              <a:cs typeface="+mn-cs"/>
            </a:rPr>
            <a:t>）</a:t>
          </a:r>
          <a:endParaRPr lang="zh-CN" altLang="zh-CN" sz="900">
            <a:effectLst/>
            <a:latin typeface="微软雅黑" panose="020B0503020204020204" pitchFamily="2" charset="-122"/>
            <a:ea typeface="微软雅黑" panose="020B0503020204020204" pitchFamily="2" charset="-122"/>
          </a:endParaRPr>
        </a:p>
      </cdr:txBody>
    </cdr:sp>
  </cdr:relSizeAnchor>
  <cdr:relSizeAnchor xmlns:cdr="http://schemas.openxmlformats.org/drawingml/2006/chartDrawing">
    <cdr:from>
      <cdr:x>0.04079</cdr:x>
      <cdr:y>0.81714</cdr:y>
    </cdr:from>
    <cdr:to>
      <cdr:x>0.17581</cdr:x>
      <cdr:y>0.92381</cdr:y>
    </cdr:to>
    <cdr:sp>
      <cdr:nvSpPr>
        <cdr:cNvPr id="3" name="矩形 2"/>
        <cdr:cNvSpPr/>
      </cdr:nvSpPr>
      <cdr:spPr xmlns:a="http://schemas.openxmlformats.org/drawingml/2006/main">
        <a:xfrm xmlns:a="http://schemas.openxmlformats.org/drawingml/2006/main">
          <a:off x="276226" y="4086225"/>
          <a:ext cx="914400" cy="533400"/>
        </a:xfrm>
        <a:prstGeom xmlns:a="http://schemas.openxmlformats.org/drawingml/2006/main" prst="rect">
          <a:avLst/>
        </a:prstGeom>
      </cdr:spPr>
      <cdr:txBody xmlns:a="http://schemas.openxmlformats.org/drawingml/2006/main">
        <a:bodyPr vertOverflow="clip" vert="horz" wrap="none" lIns="45720" tIns="45720" rIns="45720" bIns="45720" rtlCol="0" anchor="t" anchorCtr="0">
          <a:normAutofit/>
        </a:bodyPr>
        <a:lstStyle/>
        <a:p>
          <a:endParaRPr lang="zh-CN" altLang="en-US" sz="1100"/>
        </a:p>
      </cdr:txBody>
    </cdr:sp>
  </cdr:relSizeAnchor>
  <cdr:relSizeAnchor xmlns:cdr="http://schemas.openxmlformats.org/drawingml/2006/chartDrawing">
    <cdr:from>
      <cdr:x>0.01834</cdr:x>
      <cdr:y>0.83345</cdr:y>
    </cdr:from>
    <cdr:to>
      <cdr:x>0.03946</cdr:x>
      <cdr:y>0.86644</cdr:y>
    </cdr:to>
    <cdr:sp>
      <cdr:nvSpPr>
        <cdr:cNvPr id="4" name="矩形 3"/>
        <cdr:cNvSpPr/>
      </cdr:nvSpPr>
      <cdr:spPr xmlns:a="http://schemas.openxmlformats.org/drawingml/2006/main">
        <a:xfrm xmlns:a="http://schemas.openxmlformats.org/drawingml/2006/main">
          <a:off x="118777" y="3448545"/>
          <a:ext cx="136782" cy="136502"/>
        </a:xfrm>
        <a:prstGeom xmlns:a="http://schemas.openxmlformats.org/drawingml/2006/main" prst="rect">
          <a:avLst/>
        </a:prstGeom>
        <a:solidFill>
          <a:schemeClr val="accent4">
            <a:lumMod val="60000"/>
            <a:lumOff val="40000"/>
          </a:schemeClr>
        </a:solidFill>
        <a:l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xmlns:a="http://schemas.openxmlformats.org/drawingml/2006/main">
        <a:bodyPr vertOverflow="clip" vert="horz" wrap="none" lIns="45720" tIns="45720" rIns="45720" bIns="45720" anchor="t" anchorCtr="0">
          <a:normAutofit/>
        </a:bodyPr>
        <a:lstStyle/>
        <a:p>
          <a:endParaRPr lang="zh-CN"/>
        </a:p>
      </cdr:txBody>
    </cdr:sp>
  </cdr:relSizeAnchor>
  <cdr:relSizeAnchor xmlns:cdr="http://schemas.openxmlformats.org/drawingml/2006/chartDrawing">
    <cdr:from>
      <cdr:x>0.01834</cdr:x>
      <cdr:y>0.88121</cdr:y>
    </cdr:from>
    <cdr:to>
      <cdr:x>0.03946</cdr:x>
      <cdr:y>0.9142</cdr:y>
    </cdr:to>
    <cdr:sp>
      <cdr:nvSpPr>
        <cdr:cNvPr id="5" name="矩形 4"/>
        <cdr:cNvSpPr/>
      </cdr:nvSpPr>
      <cdr:spPr xmlns:a="http://schemas.openxmlformats.org/drawingml/2006/main">
        <a:xfrm xmlns:a="http://schemas.openxmlformats.org/drawingml/2006/main">
          <a:off x="118777" y="3646161"/>
          <a:ext cx="136782" cy="136501"/>
        </a:xfrm>
        <a:prstGeom xmlns:a="http://schemas.openxmlformats.org/drawingml/2006/main" prst="rect">
          <a:avLst/>
        </a:prstGeom>
        <a:solidFill>
          <a:srgbClr val="1B45F6"/>
        </a:solidFill>
        <a:l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xmlns:a="http://schemas.openxmlformats.org/drawingml/2006/main">
        <a:bodyPr vertOverflow="clip" vert="horz" wrap="none" lIns="45720" tIns="45720" rIns="45720" bIns="45720" anchor="t" anchorCtr="0">
          <a:normAutofit/>
        </a:bodyPr>
        <a:lstStyle/>
        <a:p>
          <a:endParaRPr lang="zh-CN"/>
        </a:p>
      </cdr:txBody>
    </cdr:sp>
  </cdr:relSizeAnchor>
  <cdr:relSizeAnchor xmlns:cdr="http://schemas.openxmlformats.org/drawingml/2006/chartDrawing">
    <cdr:from>
      <cdr:x>0.01969</cdr:x>
      <cdr:y>0.92762</cdr:y>
    </cdr:from>
    <cdr:to>
      <cdr:x>0.98172</cdr:x>
      <cdr:y>0.92762</cdr:y>
    </cdr:to>
    <cdr:sp>
      <cdr:nvSpPr>
        <cdr:cNvPr id="6" name="直接连接符 5"/>
        <cdr:cNvSpPr/>
      </cdr:nvSpPr>
      <cdr:spPr xmlns:a="http://schemas.openxmlformats.org/drawingml/2006/main">
        <a:xfrm xmlns:a="http://schemas.openxmlformats.org/drawingml/2006/main">
          <a:off x="115529" y="4241079"/>
          <a:ext cx="6542011" cy="0"/>
        </a:xfrm>
        <a:prstGeom xmlns:a="http://schemas.openxmlformats.org/drawingml/2006/main" prst="line">
          <a:avLst/>
        </a:prstGeom>
        <a:l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sp>
  </cdr:relSizeAnchor>
  <cdr:relSizeAnchor xmlns:cdr="http://schemas.openxmlformats.org/drawingml/2006/chartDrawing">
    <cdr:from>
      <cdr:x>0.03938</cdr:x>
      <cdr:y>0.92</cdr:y>
    </cdr:from>
    <cdr:to>
      <cdr:x>0.60095</cdr:x>
      <cdr:y>0.9973</cdr:y>
    </cdr:to>
    <cdr:sp>
      <cdr:nvSpPr>
        <cdr:cNvPr id="7" name="矩形 6"/>
        <cdr:cNvSpPr/>
      </cdr:nvSpPr>
      <cdr:spPr xmlns:a="http://schemas.openxmlformats.org/drawingml/2006/main">
        <a:xfrm xmlns:a="http://schemas.openxmlformats.org/drawingml/2006/main">
          <a:off x="255041" y="3815424"/>
          <a:ext cx="3636952" cy="320579"/>
        </a:xfrm>
        <a:prstGeom xmlns:a="http://schemas.openxmlformats.org/drawingml/2006/main" prst="rect">
          <a:avLst/>
        </a:prstGeom>
      </cdr:spPr>
      <cdr:txBody xmlns:a="http://schemas.openxmlformats.org/drawingml/2006/main">
        <a:bodyPr vertOverflow="clip" vert="horz" wrap="square" lIns="45720" tIns="45720" rIns="45720" bIns="45720" rtlCol="0" anchor="t" anchorCtr="0">
          <a:normAutofit/>
        </a:bodyPr>
        <a:lstStyle/>
        <a:p>
          <a:r>
            <a:rPr lang="en-US" altLang="zh-CN" sz="900">
              <a:effectLst/>
              <a:latin typeface="微软雅黑" panose="020B0503020204020204" pitchFamily="2" charset="-122"/>
              <a:ea typeface="微软雅黑" panose="020B0503020204020204" pitchFamily="2" charset="-122"/>
              <a:cs typeface="+mn-cs"/>
            </a:rPr>
            <a:t>Copyright©2021 zhaopin all rights reserved</a:t>
          </a:r>
          <a:endParaRPr lang="zh-CN" altLang="zh-CN" sz="900">
            <a:effectLst/>
            <a:latin typeface="微软雅黑" panose="020B0503020204020204" pitchFamily="2" charset="-122"/>
            <a:ea typeface="微软雅黑" panose="020B0503020204020204" pitchFamily="2" charset="-122"/>
          </a:endParaRPr>
        </a:p>
      </cdr:txBody>
    </cdr:sp>
  </cdr:relSizeAnchor>
  <cdr:relSizeAnchor xmlns:cdr="http://schemas.openxmlformats.org/drawingml/2006/chartDrawing">
    <cdr:from>
      <cdr:x>0.0358</cdr:x>
      <cdr:y>0.81275</cdr:y>
    </cdr:from>
    <cdr:to>
      <cdr:x>0.85833</cdr:x>
      <cdr:y>0.8693</cdr:y>
    </cdr:to>
    <cdr:sp>
      <cdr:nvSpPr>
        <cdr:cNvPr id="8" name="矩形 7"/>
        <cdr:cNvSpPr/>
      </cdr:nvSpPr>
      <cdr:spPr xmlns:a="http://schemas.openxmlformats.org/drawingml/2006/main">
        <a:xfrm xmlns:a="http://schemas.openxmlformats.org/drawingml/2006/main">
          <a:off x="188679" y="3240050"/>
          <a:ext cx="4335145" cy="225438"/>
        </a:xfrm>
        <a:prstGeom xmlns:a="http://schemas.openxmlformats.org/drawingml/2006/main" prst="rect">
          <a:avLst/>
        </a:prstGeom>
        <a:noFill/>
      </cdr:spPr>
      <cdr:txBody xmlns:a="http://schemas.openxmlformats.org/drawingml/2006/main">
        <a:bodyPr vertOverflow="clip" vert="horz" wrap="square" lIns="45720" tIns="45720" rIns="45720" bIns="45720" rtlCol="0" anchor="t" anchorCtr="0">
          <a:normAutofit/>
        </a:bodyPr>
        <a:lstStyle/>
        <a:p>
          <a:r>
            <a:rPr lang="zh-CN" altLang="en-US" sz="900">
              <a:latin typeface="微软雅黑" panose="020B0503020204020204" pitchFamily="2" charset="-122"/>
              <a:ea typeface="微软雅黑" panose="020B0503020204020204" pitchFamily="2" charset="-122"/>
            </a:rPr>
            <a:t>统计规则：基于智联招聘</a:t>
          </a:r>
          <a:r>
            <a:rPr lang="en-US" altLang="zh-CN" sz="900">
              <a:latin typeface="微软雅黑" panose="020B0503020204020204" pitchFamily="2" charset="-122"/>
              <a:ea typeface="微软雅黑" panose="020B0503020204020204" pitchFamily="2" charset="-122"/>
            </a:rPr>
            <a:t>2021</a:t>
          </a:r>
          <a:r>
            <a:rPr lang="zh-CN" altLang="en-US" sz="900">
              <a:latin typeface="微软雅黑" panose="020B0503020204020204" pitchFamily="2" charset="-122"/>
              <a:ea typeface="微软雅黑" panose="020B0503020204020204" pitchFamily="2" charset="-122"/>
            </a:rPr>
            <a:t>年在线招聘数据库的数据监测统计分析</a:t>
          </a:r>
          <a:endParaRPr lang="zh-CN" altLang="en-US" sz="900">
            <a:latin typeface="微软雅黑" panose="020B0503020204020204" pitchFamily="2" charset="-122"/>
            <a:ea typeface="微软雅黑" panose="020B0503020204020204" pitchFamily="2" charset="-122"/>
          </a:endParaRPr>
        </a:p>
      </cdr:txBody>
    </cdr:sp>
  </cdr:relSizeAnchor>
  <cdr:relSizeAnchor xmlns:cdr="http://schemas.openxmlformats.org/drawingml/2006/chartDrawing">
    <cdr:from>
      <cdr:x>0.80513</cdr:x>
      <cdr:y>0.84455</cdr:y>
    </cdr:from>
    <cdr:to>
      <cdr:x>0.97731</cdr:x>
      <cdr:y>0.91282</cdr:y>
    </cdr:to>
    <cdr:pic xmlns:a="http://schemas.openxmlformats.org/drawingml/2006/main">
      <cdr:nvPicPr>
        <cdr:cNvPr id="9" name="图片 8"/>
        <cdr:cNvPicPr/>
      </cdr:nvPicPr>
      <cdr:blipFill>
        <a:blip xmlns:r="http://schemas.openxmlformats.org/officeDocument/2006/relationships" r:embed="rId1">
          <a:extLst>
            <a:ext uri="{28A0092B-C50C-407E-A947-70E740481C1C}">
              <a14:useLocalDpi xmlns:a14="http://schemas.microsoft.com/office/drawing/2010/main" val="0"/>
            </a:ext>
          </a:extLst>
        </a:blip>
        <a:srcRect/>
        <a:stretch>
          <a:fillRect/>
        </a:stretch>
      </cdr:blipFill>
      <cdr:spPr>
        <a:xfrm>
          <a:off x="4821445" y="3837312"/>
          <a:ext cx="1031083" cy="310163"/>
        </a:xfrm>
        <a:prstGeom prst="rect">
          <a:avLst/>
        </a:prstGeom>
      </cdr:spPr>
    </cdr:pic>
  </cdr:relSizeAnchor>
</c:userShapes>
</file>

<file path=word/drawings/drawing5.xml><?xml version="1.0" encoding="utf-8"?>
<c:userShapes xmlns:c="http://schemas.openxmlformats.org/drawingml/2006/chart">
  <cdr:relSizeAnchor xmlns:cdr="http://schemas.openxmlformats.org/drawingml/2006/chartDrawing">
    <cdr:from>
      <cdr:x>0.03364</cdr:x>
      <cdr:y>0.86112</cdr:y>
    </cdr:from>
    <cdr:to>
      <cdr:x>0.73077</cdr:x>
      <cdr:y>0.92334</cdr:y>
    </cdr:to>
    <cdr:sp>
      <cdr:nvSpPr>
        <cdr:cNvPr id="2" name="矩形 1"/>
        <cdr:cNvSpPr/>
      </cdr:nvSpPr>
      <cdr:spPr xmlns:a="http://schemas.openxmlformats.org/drawingml/2006/main">
        <a:xfrm xmlns:a="http://schemas.openxmlformats.org/drawingml/2006/main">
          <a:off x="177285" y="3356344"/>
          <a:ext cx="3674224" cy="242511"/>
        </a:xfrm>
        <a:prstGeom xmlns:a="http://schemas.openxmlformats.org/drawingml/2006/main" prst="rect">
          <a:avLst/>
        </a:prstGeom>
        <a:noFill/>
      </cdr:spPr>
      <cdr:txBody xmlns:a="http://schemas.openxmlformats.org/drawingml/2006/main">
        <a:bodyPr vertOverflow="clip" vert="horz" wrap="square" lIns="45720" tIns="45720" rIns="45720" bIns="45720" rtlCol="0" anchor="t" anchorCtr="0">
          <a:normAutofit/>
        </a:bodyPr>
        <a:lstStyle/>
        <a:p>
          <a:r>
            <a:rPr lang="zh-CN" altLang="en-US" sz="900">
              <a:effectLst/>
              <a:latin typeface="微软雅黑" panose="020B0503020204020204" pitchFamily="2" charset="-122"/>
              <a:ea typeface="微软雅黑" panose="020B0503020204020204" pitchFamily="2" charset="-122"/>
              <a:cs typeface="+mn-cs"/>
            </a:rPr>
            <a:t>数据来源：智联招聘（</a:t>
          </a:r>
          <a:r>
            <a:rPr lang="en-US" altLang="zh-CN" sz="900">
              <a:effectLst/>
              <a:latin typeface="微软雅黑" panose="020B0503020204020204" pitchFamily="2" charset="-122"/>
              <a:ea typeface="微软雅黑" panose="020B0503020204020204" pitchFamily="2" charset="-122"/>
              <a:cs typeface="+mn-cs"/>
            </a:rPr>
            <a:t>www.zhaopin.com</a:t>
          </a:r>
          <a:r>
            <a:rPr lang="zh-CN" altLang="en-US" sz="900">
              <a:effectLst/>
              <a:latin typeface="微软雅黑" panose="020B0503020204020204" pitchFamily="2" charset="-122"/>
              <a:ea typeface="微软雅黑" panose="020B0503020204020204" pitchFamily="2" charset="-122"/>
              <a:cs typeface="+mn-cs"/>
            </a:rPr>
            <a:t>）</a:t>
          </a:r>
          <a:endParaRPr lang="zh-CN" altLang="zh-CN" sz="900">
            <a:effectLst/>
            <a:latin typeface="微软雅黑" panose="020B0503020204020204" pitchFamily="2" charset="-122"/>
            <a:ea typeface="微软雅黑" panose="020B0503020204020204" pitchFamily="2" charset="-122"/>
          </a:endParaRPr>
        </a:p>
      </cdr:txBody>
    </cdr:sp>
  </cdr:relSizeAnchor>
  <cdr:relSizeAnchor xmlns:cdr="http://schemas.openxmlformats.org/drawingml/2006/chartDrawing">
    <cdr:from>
      <cdr:x>0.04079</cdr:x>
      <cdr:y>0.81714</cdr:y>
    </cdr:from>
    <cdr:to>
      <cdr:x>0.17581</cdr:x>
      <cdr:y>0.92381</cdr:y>
    </cdr:to>
    <cdr:sp>
      <cdr:nvSpPr>
        <cdr:cNvPr id="3" name="矩形 2"/>
        <cdr:cNvSpPr/>
      </cdr:nvSpPr>
      <cdr:spPr xmlns:a="http://schemas.openxmlformats.org/drawingml/2006/main">
        <a:xfrm xmlns:a="http://schemas.openxmlformats.org/drawingml/2006/main">
          <a:off x="276226" y="4086225"/>
          <a:ext cx="914400" cy="533400"/>
        </a:xfrm>
        <a:prstGeom xmlns:a="http://schemas.openxmlformats.org/drawingml/2006/main" prst="rect">
          <a:avLst/>
        </a:prstGeom>
      </cdr:spPr>
      <cdr:txBody xmlns:a="http://schemas.openxmlformats.org/drawingml/2006/main">
        <a:bodyPr vertOverflow="clip" vert="horz" wrap="none" lIns="45720" tIns="45720" rIns="45720" bIns="45720" rtlCol="0" anchor="t" anchorCtr="0">
          <a:normAutofit/>
        </a:bodyPr>
        <a:lstStyle/>
        <a:p>
          <a:endParaRPr lang="zh-CN" altLang="en-US" sz="1100"/>
        </a:p>
      </cdr:txBody>
    </cdr:sp>
  </cdr:relSizeAnchor>
  <cdr:relSizeAnchor xmlns:cdr="http://schemas.openxmlformats.org/drawingml/2006/chartDrawing">
    <cdr:from>
      <cdr:x>0.01834</cdr:x>
      <cdr:y>0.83345</cdr:y>
    </cdr:from>
    <cdr:to>
      <cdr:x>0.03946</cdr:x>
      <cdr:y>0.86644</cdr:y>
    </cdr:to>
    <cdr:sp>
      <cdr:nvSpPr>
        <cdr:cNvPr id="4" name="矩形 3"/>
        <cdr:cNvSpPr/>
      </cdr:nvSpPr>
      <cdr:spPr xmlns:a="http://schemas.openxmlformats.org/drawingml/2006/main">
        <a:xfrm xmlns:a="http://schemas.openxmlformats.org/drawingml/2006/main">
          <a:off x="118777" y="3448545"/>
          <a:ext cx="136782" cy="136502"/>
        </a:xfrm>
        <a:prstGeom xmlns:a="http://schemas.openxmlformats.org/drawingml/2006/main" prst="rect">
          <a:avLst/>
        </a:prstGeom>
        <a:solidFill>
          <a:srgbClr val="FDD000"/>
        </a:solidFill>
        <a:l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xmlns:a="http://schemas.openxmlformats.org/drawingml/2006/main">
        <a:bodyPr vertOverflow="clip" vert="horz" wrap="none" lIns="45720" tIns="45720" rIns="45720" bIns="45720" anchor="t" anchorCtr="0">
          <a:normAutofit/>
        </a:bodyPr>
        <a:lstStyle/>
        <a:p>
          <a:endParaRPr lang="zh-CN"/>
        </a:p>
      </cdr:txBody>
    </cdr:sp>
  </cdr:relSizeAnchor>
  <cdr:relSizeAnchor xmlns:cdr="http://schemas.openxmlformats.org/drawingml/2006/chartDrawing">
    <cdr:from>
      <cdr:x>0.01834</cdr:x>
      <cdr:y>0.88121</cdr:y>
    </cdr:from>
    <cdr:to>
      <cdr:x>0.03946</cdr:x>
      <cdr:y>0.9142</cdr:y>
    </cdr:to>
    <cdr:sp>
      <cdr:nvSpPr>
        <cdr:cNvPr id="5" name="矩形 4"/>
        <cdr:cNvSpPr/>
      </cdr:nvSpPr>
      <cdr:spPr xmlns:a="http://schemas.openxmlformats.org/drawingml/2006/main">
        <a:xfrm xmlns:a="http://schemas.openxmlformats.org/drawingml/2006/main">
          <a:off x="118777" y="3646161"/>
          <a:ext cx="136782" cy="136501"/>
        </a:xfrm>
        <a:prstGeom xmlns:a="http://schemas.openxmlformats.org/drawingml/2006/main" prst="rect">
          <a:avLst/>
        </a:prstGeom>
        <a:solidFill>
          <a:srgbClr val="1B45F6"/>
        </a:solidFill>
        <a:l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xmlns:a="http://schemas.openxmlformats.org/drawingml/2006/main">
        <a:bodyPr vertOverflow="clip" vert="horz" wrap="none" lIns="45720" tIns="45720" rIns="45720" bIns="45720" anchor="t" anchorCtr="0">
          <a:normAutofit/>
        </a:bodyPr>
        <a:lstStyle/>
        <a:p>
          <a:endParaRPr lang="zh-CN"/>
        </a:p>
      </cdr:txBody>
    </cdr:sp>
  </cdr:relSizeAnchor>
  <cdr:relSizeAnchor xmlns:cdr="http://schemas.openxmlformats.org/drawingml/2006/chartDrawing">
    <cdr:from>
      <cdr:x>0.01969</cdr:x>
      <cdr:y>0.92762</cdr:y>
    </cdr:from>
    <cdr:to>
      <cdr:x>0.98172</cdr:x>
      <cdr:y>0.92762</cdr:y>
    </cdr:to>
    <cdr:sp>
      <cdr:nvSpPr>
        <cdr:cNvPr id="6" name="直接连接符 5"/>
        <cdr:cNvSpPr/>
      </cdr:nvSpPr>
      <cdr:spPr xmlns:a="http://schemas.openxmlformats.org/drawingml/2006/main">
        <a:xfrm xmlns:a="http://schemas.openxmlformats.org/drawingml/2006/main">
          <a:off x="115529" y="4241079"/>
          <a:ext cx="6102171" cy="0"/>
        </a:xfrm>
        <a:prstGeom xmlns:a="http://schemas.openxmlformats.org/drawingml/2006/main" prst="line">
          <a:avLst/>
        </a:prstGeom>
        <a:l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sp>
  </cdr:relSizeAnchor>
  <cdr:relSizeAnchor xmlns:cdr="http://schemas.openxmlformats.org/drawingml/2006/chartDrawing">
    <cdr:from>
      <cdr:x>0.03938</cdr:x>
      <cdr:y>0.92</cdr:y>
    </cdr:from>
    <cdr:to>
      <cdr:x>0.60095</cdr:x>
      <cdr:y>0.9973</cdr:y>
    </cdr:to>
    <cdr:sp>
      <cdr:nvSpPr>
        <cdr:cNvPr id="7" name="矩形 6"/>
        <cdr:cNvSpPr/>
      </cdr:nvSpPr>
      <cdr:spPr xmlns:a="http://schemas.openxmlformats.org/drawingml/2006/main">
        <a:xfrm xmlns:a="http://schemas.openxmlformats.org/drawingml/2006/main">
          <a:off x="207552" y="3585820"/>
          <a:ext cx="2959755" cy="301286"/>
        </a:xfrm>
        <a:prstGeom xmlns:a="http://schemas.openxmlformats.org/drawingml/2006/main" prst="rect">
          <a:avLst/>
        </a:prstGeom>
      </cdr:spPr>
      <cdr:txBody xmlns:a="http://schemas.openxmlformats.org/drawingml/2006/main">
        <a:bodyPr vertOverflow="clip" vert="horz" wrap="square" lIns="45720" tIns="45720" rIns="45720" bIns="45720" rtlCol="0" anchor="t" anchorCtr="0">
          <a:normAutofit/>
        </a:bodyPr>
        <a:lstStyle/>
        <a:p>
          <a:r>
            <a:rPr lang="en-US" altLang="zh-CN" sz="900">
              <a:effectLst/>
              <a:latin typeface="微软雅黑" panose="020B0503020204020204" pitchFamily="2" charset="-122"/>
              <a:ea typeface="微软雅黑" panose="020B0503020204020204" pitchFamily="2" charset="-122"/>
              <a:cs typeface="+mn-cs"/>
            </a:rPr>
            <a:t>Copyright©2021 zhaopin all rights reserved</a:t>
          </a:r>
          <a:endParaRPr lang="zh-CN" altLang="zh-CN" sz="900">
            <a:effectLst/>
            <a:latin typeface="微软雅黑" panose="020B0503020204020204" pitchFamily="2" charset="-122"/>
            <a:ea typeface="微软雅黑" panose="020B0503020204020204" pitchFamily="2" charset="-122"/>
          </a:endParaRPr>
        </a:p>
      </cdr:txBody>
    </cdr:sp>
  </cdr:relSizeAnchor>
  <cdr:relSizeAnchor xmlns:cdr="http://schemas.openxmlformats.org/drawingml/2006/chartDrawing">
    <cdr:from>
      <cdr:x>0.03471</cdr:x>
      <cdr:y>0.8115</cdr:y>
    </cdr:from>
    <cdr:to>
      <cdr:x>0.85724</cdr:x>
      <cdr:y>0.87909</cdr:y>
    </cdr:to>
    <cdr:sp>
      <cdr:nvSpPr>
        <cdr:cNvPr id="8" name="矩形 7"/>
        <cdr:cNvSpPr/>
      </cdr:nvSpPr>
      <cdr:spPr xmlns:a="http://schemas.openxmlformats.org/drawingml/2006/main">
        <a:xfrm xmlns:a="http://schemas.openxmlformats.org/drawingml/2006/main">
          <a:off x="182964" y="3162922"/>
          <a:ext cx="4335145" cy="263440"/>
        </a:xfrm>
        <a:prstGeom xmlns:a="http://schemas.openxmlformats.org/drawingml/2006/main" prst="rect">
          <a:avLst/>
        </a:prstGeom>
        <a:noFill/>
      </cdr:spPr>
      <cdr:txBody xmlns:a="http://schemas.openxmlformats.org/drawingml/2006/main">
        <a:bodyPr vertOverflow="clip" vert="horz" wrap="square" lIns="45720" tIns="45720" rIns="45720" bIns="45720" rtlCol="0" anchor="t" anchorCtr="0">
          <a:normAutofit/>
        </a:bodyPr>
        <a:lstStyle/>
        <a:p>
          <a:r>
            <a:rPr lang="zh-CN" altLang="en-US" sz="900">
              <a:latin typeface="微软雅黑" panose="020B0503020204020204" pitchFamily="2" charset="-122"/>
              <a:ea typeface="微软雅黑" panose="020B0503020204020204" pitchFamily="2" charset="-122"/>
            </a:rPr>
            <a:t>统计规则：基于智联招聘</a:t>
          </a:r>
          <a:r>
            <a:rPr lang="en-US" altLang="zh-CN" sz="900">
              <a:latin typeface="微软雅黑" panose="020B0503020204020204" pitchFamily="2" charset="-122"/>
              <a:ea typeface="微软雅黑" panose="020B0503020204020204" pitchFamily="2" charset="-122"/>
            </a:rPr>
            <a:t>2021</a:t>
          </a:r>
          <a:r>
            <a:rPr lang="zh-CN" altLang="en-US" sz="900">
              <a:latin typeface="微软雅黑" panose="020B0503020204020204" pitchFamily="2" charset="-122"/>
              <a:ea typeface="微软雅黑" panose="020B0503020204020204" pitchFamily="2" charset="-122"/>
            </a:rPr>
            <a:t>年春季在线招聘数据库的数据监测统计分析</a:t>
          </a:r>
          <a:endParaRPr lang="zh-CN" altLang="en-US" sz="900">
            <a:latin typeface="微软雅黑" panose="020B0503020204020204" pitchFamily="2" charset="-122"/>
            <a:ea typeface="微软雅黑" panose="020B0503020204020204" pitchFamily="2" charset="-122"/>
          </a:endParaRPr>
        </a:p>
      </cdr:txBody>
    </cdr:sp>
  </cdr:relSizeAnchor>
  <cdr:relSizeAnchor xmlns:cdr="http://schemas.openxmlformats.org/drawingml/2006/chartDrawing">
    <cdr:from>
      <cdr:x>0.04095</cdr:x>
      <cdr:y>0.11227</cdr:y>
    </cdr:from>
    <cdr:to>
      <cdr:x>0.09586</cdr:x>
      <cdr:y>0.40146</cdr:y>
    </cdr:to>
    <cdr:sp>
      <cdr:nvSpPr>
        <cdr:cNvPr id="9" name="矩形 8"/>
        <cdr:cNvSpPr/>
      </cdr:nvSpPr>
      <cdr:spPr xmlns:a="http://schemas.openxmlformats.org/drawingml/2006/main">
        <a:xfrm xmlns:a="http://schemas.openxmlformats.org/drawingml/2006/main">
          <a:off x="215822" y="437576"/>
          <a:ext cx="289388" cy="1127156"/>
        </a:xfrm>
        <a:prstGeom xmlns:a="http://schemas.openxmlformats.org/drawingml/2006/main" prst="rect">
          <a:avLst/>
        </a:prstGeom>
      </cdr:spPr>
      <cdr:txBody xmlns:a="http://schemas.openxmlformats.org/drawingml/2006/main">
        <a:bodyPr vertOverflow="clip" vert="eaVert" wrap="square" lIns="45720" tIns="45720" rIns="45720" bIns="45720" rtlCol="0" anchor="t" anchorCtr="0">
          <a:normAutofit/>
        </a:bodyPr>
        <a:lstStyle/>
        <a:p>
          <a:r>
            <a:rPr lang="zh-CN" altLang="en-US" sz="1000">
              <a:latin typeface="微软雅黑" panose="020B0503020204020204" pitchFamily="2" charset="-122"/>
              <a:ea typeface="微软雅黑" panose="020B0503020204020204" pitchFamily="2" charset="-122"/>
            </a:rPr>
            <a:t>单位：元</a:t>
          </a:r>
          <a:r>
            <a:rPr lang="en-US" altLang="zh-CN" sz="1000">
              <a:latin typeface="微软雅黑" panose="020B0503020204020204" pitchFamily="2" charset="-122"/>
              <a:ea typeface="微软雅黑" panose="020B0503020204020204" pitchFamily="2" charset="-122"/>
            </a:rPr>
            <a:t>/</a:t>
          </a:r>
          <a:r>
            <a:rPr lang="zh-CN" altLang="en-US" sz="1000">
              <a:latin typeface="微软雅黑" panose="020B0503020204020204" pitchFamily="2" charset="-122"/>
              <a:ea typeface="微软雅黑" panose="020B0503020204020204" pitchFamily="2" charset="-122"/>
            </a:rPr>
            <a:t>月</a:t>
          </a:r>
          <a:endParaRPr lang="zh-CN" altLang="en-US" sz="1000">
            <a:latin typeface="微软雅黑" panose="020B0503020204020204" pitchFamily="2" charset="-122"/>
            <a:ea typeface="微软雅黑" panose="020B0503020204020204" pitchFamily="2" charset="-122"/>
          </a:endParaRPr>
        </a:p>
      </cdr:txBody>
    </cdr:sp>
  </cdr:relSizeAnchor>
  <cdr:relSizeAnchor xmlns:cdr="http://schemas.openxmlformats.org/drawingml/2006/chartDrawing">
    <cdr:from>
      <cdr:x>0.82164</cdr:x>
      <cdr:y>0.84824</cdr:y>
    </cdr:from>
    <cdr:to>
      <cdr:x>0.96719</cdr:x>
      <cdr:y>0.90604</cdr:y>
    </cdr:to>
    <cdr:pic xmlns:a="http://schemas.openxmlformats.org/drawingml/2006/main">
      <cdr:nvPicPr>
        <cdr:cNvPr id="10" name="图片 9"/>
        <cdr:cNvPicPr/>
      </cdr:nvPicPr>
      <cdr: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cdr:blipFill>
      <cdr:spPr>
        <a:xfrm>
          <a:off x="5207000" y="3975100"/>
          <a:ext cx="922362" cy="270888"/>
        </a:xfrm>
        <a:prstGeom prst="rect">
          <a:avLst/>
        </a:prstGeom>
      </cdr:spPr>
    </cdr:pic>
  </cdr:relSizeAnchor>
</c:userShapes>
</file>

<file path=word/drawings/drawing6.xml><?xml version="1.0" encoding="utf-8"?>
<c:userShapes xmlns:c="http://schemas.openxmlformats.org/drawingml/2006/chart">
  <cdr:relSizeAnchor xmlns:cdr="http://schemas.openxmlformats.org/drawingml/2006/chartDrawing">
    <cdr:from>
      <cdr:x>0.03687</cdr:x>
      <cdr:y>0.85821</cdr:y>
    </cdr:from>
    <cdr:to>
      <cdr:x>0.734</cdr:x>
      <cdr:y>0.92043</cdr:y>
    </cdr:to>
    <cdr:sp>
      <cdr:nvSpPr>
        <cdr:cNvPr id="2" name="矩形 1"/>
        <cdr:cNvSpPr/>
      </cdr:nvSpPr>
      <cdr:spPr xmlns:a="http://schemas.openxmlformats.org/drawingml/2006/main">
        <a:xfrm xmlns:a="http://schemas.openxmlformats.org/drawingml/2006/main">
          <a:off x="238785" y="3550994"/>
          <a:ext cx="4514893" cy="257446"/>
        </a:xfrm>
        <a:prstGeom xmlns:a="http://schemas.openxmlformats.org/drawingml/2006/main" prst="rect">
          <a:avLst/>
        </a:prstGeom>
        <a:noFill/>
      </cdr:spPr>
      <cdr:txBody xmlns:a="http://schemas.openxmlformats.org/drawingml/2006/main">
        <a:bodyPr vertOverflow="clip" vert="horz" wrap="square" lIns="45720" tIns="45720" rIns="45720" bIns="45720" rtlCol="0" anchor="t" anchorCtr="0">
          <a:normAutofit/>
        </a:bodyPr>
        <a:lstStyle/>
        <a:p>
          <a:r>
            <a:rPr lang="zh-CN" altLang="en-US" sz="900">
              <a:effectLst/>
              <a:latin typeface="微软雅黑" panose="020B0503020204020204" pitchFamily="2" charset="-122"/>
              <a:ea typeface="微软雅黑" panose="020B0503020204020204" pitchFamily="2" charset="-122"/>
              <a:cs typeface="+mn-cs"/>
            </a:rPr>
            <a:t>数据来源：智联招聘（</a:t>
          </a:r>
          <a:r>
            <a:rPr lang="en-US" altLang="zh-CN" sz="900">
              <a:effectLst/>
              <a:latin typeface="微软雅黑" panose="020B0503020204020204" pitchFamily="2" charset="-122"/>
              <a:ea typeface="微软雅黑" panose="020B0503020204020204" pitchFamily="2" charset="-122"/>
              <a:cs typeface="+mn-cs"/>
            </a:rPr>
            <a:t>www.zhaopin.com</a:t>
          </a:r>
          <a:r>
            <a:rPr lang="zh-CN" altLang="en-US" sz="900">
              <a:effectLst/>
              <a:latin typeface="微软雅黑" panose="020B0503020204020204" pitchFamily="2" charset="-122"/>
              <a:ea typeface="微软雅黑" panose="020B0503020204020204" pitchFamily="2" charset="-122"/>
              <a:cs typeface="+mn-cs"/>
            </a:rPr>
            <a:t>）</a:t>
          </a:r>
          <a:endParaRPr lang="zh-CN" altLang="zh-CN" sz="900">
            <a:effectLst/>
            <a:latin typeface="微软雅黑" panose="020B0503020204020204" pitchFamily="2" charset="-122"/>
            <a:ea typeface="微软雅黑" panose="020B0503020204020204" pitchFamily="2" charset="-122"/>
          </a:endParaRPr>
        </a:p>
      </cdr:txBody>
    </cdr:sp>
  </cdr:relSizeAnchor>
  <cdr:relSizeAnchor xmlns:cdr="http://schemas.openxmlformats.org/drawingml/2006/chartDrawing">
    <cdr:from>
      <cdr:x>0.04079</cdr:x>
      <cdr:y>0.81714</cdr:y>
    </cdr:from>
    <cdr:to>
      <cdr:x>0.17581</cdr:x>
      <cdr:y>0.92381</cdr:y>
    </cdr:to>
    <cdr:sp>
      <cdr:nvSpPr>
        <cdr:cNvPr id="3" name="矩形 2"/>
        <cdr:cNvSpPr/>
      </cdr:nvSpPr>
      <cdr:spPr xmlns:a="http://schemas.openxmlformats.org/drawingml/2006/main">
        <a:xfrm xmlns:a="http://schemas.openxmlformats.org/drawingml/2006/main">
          <a:off x="276226" y="4086225"/>
          <a:ext cx="914400" cy="533400"/>
        </a:xfrm>
        <a:prstGeom xmlns:a="http://schemas.openxmlformats.org/drawingml/2006/main" prst="rect">
          <a:avLst/>
        </a:prstGeom>
      </cdr:spPr>
      <cdr:txBody xmlns:a="http://schemas.openxmlformats.org/drawingml/2006/main">
        <a:bodyPr vertOverflow="clip" vert="horz" wrap="none" lIns="45720" tIns="45720" rIns="45720" bIns="45720" rtlCol="0" anchor="t" anchorCtr="0">
          <a:normAutofit/>
        </a:bodyPr>
        <a:lstStyle/>
        <a:p>
          <a:endParaRPr lang="zh-CN" altLang="en-US" sz="1100"/>
        </a:p>
      </cdr:txBody>
    </cdr:sp>
  </cdr:relSizeAnchor>
  <cdr:relSizeAnchor xmlns:cdr="http://schemas.openxmlformats.org/drawingml/2006/chartDrawing">
    <cdr:from>
      <cdr:x>0.01834</cdr:x>
      <cdr:y>0.83345</cdr:y>
    </cdr:from>
    <cdr:to>
      <cdr:x>0.03946</cdr:x>
      <cdr:y>0.86644</cdr:y>
    </cdr:to>
    <cdr:sp>
      <cdr:nvSpPr>
        <cdr:cNvPr id="4" name="矩形 3"/>
        <cdr:cNvSpPr/>
      </cdr:nvSpPr>
      <cdr:spPr xmlns:a="http://schemas.openxmlformats.org/drawingml/2006/main">
        <a:xfrm xmlns:a="http://schemas.openxmlformats.org/drawingml/2006/main">
          <a:off x="118777" y="3448545"/>
          <a:ext cx="136782" cy="136502"/>
        </a:xfrm>
        <a:prstGeom xmlns:a="http://schemas.openxmlformats.org/drawingml/2006/main" prst="rect">
          <a:avLst/>
        </a:prstGeom>
        <a:solidFill>
          <a:schemeClr val="accent4">
            <a:lumMod val="60000"/>
            <a:lumOff val="40000"/>
          </a:schemeClr>
        </a:solidFill>
        <a:l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xmlns:a="http://schemas.openxmlformats.org/drawingml/2006/main">
        <a:bodyPr vertOverflow="clip" vert="horz" wrap="none" lIns="45720" tIns="45720" rIns="45720" bIns="45720" anchor="t" anchorCtr="0">
          <a:normAutofit/>
        </a:bodyPr>
        <a:lstStyle/>
        <a:p>
          <a:endParaRPr lang="zh-CN"/>
        </a:p>
      </cdr:txBody>
    </cdr:sp>
  </cdr:relSizeAnchor>
  <cdr:relSizeAnchor xmlns:cdr="http://schemas.openxmlformats.org/drawingml/2006/chartDrawing">
    <cdr:from>
      <cdr:x>0.01834</cdr:x>
      <cdr:y>0.88121</cdr:y>
    </cdr:from>
    <cdr:to>
      <cdr:x>0.03946</cdr:x>
      <cdr:y>0.9142</cdr:y>
    </cdr:to>
    <cdr:sp>
      <cdr:nvSpPr>
        <cdr:cNvPr id="5" name="矩形 4"/>
        <cdr:cNvSpPr/>
      </cdr:nvSpPr>
      <cdr:spPr xmlns:a="http://schemas.openxmlformats.org/drawingml/2006/main">
        <a:xfrm xmlns:a="http://schemas.openxmlformats.org/drawingml/2006/main">
          <a:off x="118777" y="3646161"/>
          <a:ext cx="136782" cy="136501"/>
        </a:xfrm>
        <a:prstGeom xmlns:a="http://schemas.openxmlformats.org/drawingml/2006/main" prst="rect">
          <a:avLst/>
        </a:prstGeom>
        <a:solidFill>
          <a:srgbClr val="1B45F6"/>
        </a:solidFill>
        <a:l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xmlns:a="http://schemas.openxmlformats.org/drawingml/2006/main">
        <a:bodyPr vertOverflow="clip" vert="horz" wrap="none" lIns="45720" tIns="45720" rIns="45720" bIns="45720" anchor="t" anchorCtr="0">
          <a:normAutofit/>
        </a:bodyPr>
        <a:lstStyle/>
        <a:p>
          <a:endParaRPr lang="zh-CN"/>
        </a:p>
      </cdr:txBody>
    </cdr:sp>
  </cdr:relSizeAnchor>
  <cdr:relSizeAnchor xmlns:cdr="http://schemas.openxmlformats.org/drawingml/2006/chartDrawing">
    <cdr:from>
      <cdr:x>0.01969</cdr:x>
      <cdr:y>0.92762</cdr:y>
    </cdr:from>
    <cdr:to>
      <cdr:x>0.98172</cdr:x>
      <cdr:y>0.92762</cdr:y>
    </cdr:to>
    <cdr:sp>
      <cdr:nvSpPr>
        <cdr:cNvPr id="6" name="直接连接符 5"/>
        <cdr:cNvSpPr/>
      </cdr:nvSpPr>
      <cdr:spPr xmlns:a="http://schemas.openxmlformats.org/drawingml/2006/main">
        <a:xfrm xmlns:a="http://schemas.openxmlformats.org/drawingml/2006/main">
          <a:off x="115529" y="4241079"/>
          <a:ext cx="6542011" cy="0"/>
        </a:xfrm>
        <a:prstGeom xmlns:a="http://schemas.openxmlformats.org/drawingml/2006/main" prst="line">
          <a:avLst/>
        </a:prstGeom>
        <a:l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sp>
  </cdr:relSizeAnchor>
  <cdr:relSizeAnchor xmlns:cdr="http://schemas.openxmlformats.org/drawingml/2006/chartDrawing">
    <cdr:from>
      <cdr:x>0.03938</cdr:x>
      <cdr:y>0.92</cdr:y>
    </cdr:from>
    <cdr:to>
      <cdr:x>0.60095</cdr:x>
      <cdr:y>0.9973</cdr:y>
    </cdr:to>
    <cdr:sp>
      <cdr:nvSpPr>
        <cdr:cNvPr id="7" name="矩形 6"/>
        <cdr:cNvSpPr/>
      </cdr:nvSpPr>
      <cdr:spPr xmlns:a="http://schemas.openxmlformats.org/drawingml/2006/main">
        <a:xfrm xmlns:a="http://schemas.openxmlformats.org/drawingml/2006/main">
          <a:off x="255041" y="3815424"/>
          <a:ext cx="3636952" cy="320579"/>
        </a:xfrm>
        <a:prstGeom xmlns:a="http://schemas.openxmlformats.org/drawingml/2006/main" prst="rect">
          <a:avLst/>
        </a:prstGeom>
      </cdr:spPr>
      <cdr:txBody xmlns:a="http://schemas.openxmlformats.org/drawingml/2006/main">
        <a:bodyPr vertOverflow="clip" vert="horz" wrap="square" lIns="45720" tIns="45720" rIns="45720" bIns="45720" rtlCol="0" anchor="t" anchorCtr="0">
          <a:normAutofit/>
        </a:bodyPr>
        <a:lstStyle/>
        <a:p>
          <a:r>
            <a:rPr lang="en-US" altLang="zh-CN" sz="900">
              <a:effectLst/>
              <a:latin typeface="微软雅黑" panose="020B0503020204020204" pitchFamily="2" charset="-122"/>
              <a:ea typeface="微软雅黑" panose="020B0503020204020204" pitchFamily="2" charset="-122"/>
              <a:cs typeface="+mn-cs"/>
            </a:rPr>
            <a:t>Copyright©2021 zhaopin all rights reserved</a:t>
          </a:r>
          <a:endParaRPr lang="zh-CN" altLang="zh-CN" sz="900">
            <a:effectLst/>
            <a:latin typeface="微软雅黑" panose="020B0503020204020204" pitchFamily="2" charset="-122"/>
            <a:ea typeface="微软雅黑" panose="020B0503020204020204" pitchFamily="2" charset="-122"/>
          </a:endParaRPr>
        </a:p>
      </cdr:txBody>
    </cdr:sp>
  </cdr:relSizeAnchor>
  <cdr:relSizeAnchor xmlns:cdr="http://schemas.openxmlformats.org/drawingml/2006/chartDrawing">
    <cdr:from>
      <cdr:x>0.03687</cdr:x>
      <cdr:y>0.80567</cdr:y>
    </cdr:from>
    <cdr:to>
      <cdr:x>0.8594</cdr:x>
      <cdr:y>0.87319</cdr:y>
    </cdr:to>
    <cdr:sp>
      <cdr:nvSpPr>
        <cdr:cNvPr id="8" name="矩形 7"/>
        <cdr:cNvSpPr/>
      </cdr:nvSpPr>
      <cdr:spPr xmlns:a="http://schemas.openxmlformats.org/drawingml/2006/main">
        <a:xfrm xmlns:a="http://schemas.openxmlformats.org/drawingml/2006/main">
          <a:off x="194323" y="2779525"/>
          <a:ext cx="4335145" cy="232946"/>
        </a:xfrm>
        <a:prstGeom xmlns:a="http://schemas.openxmlformats.org/drawingml/2006/main" prst="rect">
          <a:avLst/>
        </a:prstGeom>
        <a:noFill/>
      </cdr:spPr>
      <cdr:txBody xmlns:a="http://schemas.openxmlformats.org/drawingml/2006/main">
        <a:bodyPr vertOverflow="clip" vert="horz" wrap="square" lIns="45720" tIns="45720" rIns="45720" bIns="45720" rtlCol="0" anchor="t" anchorCtr="0">
          <a:normAutofit/>
        </a:bodyPr>
        <a:lstStyle/>
        <a:p>
          <a:r>
            <a:rPr lang="zh-CN" altLang="en-US" sz="900">
              <a:latin typeface="微软雅黑" panose="020B0503020204020204" pitchFamily="2" charset="-122"/>
              <a:ea typeface="微软雅黑" panose="020B0503020204020204" pitchFamily="2" charset="-122"/>
            </a:rPr>
            <a:t>统计规则：基于智联招聘</a:t>
          </a:r>
          <a:r>
            <a:rPr lang="en-US" altLang="zh-CN" sz="900">
              <a:latin typeface="微软雅黑" panose="020B0503020204020204" pitchFamily="2" charset="-122"/>
              <a:ea typeface="微软雅黑" panose="020B0503020204020204" pitchFamily="2" charset="-122"/>
            </a:rPr>
            <a:t>2021</a:t>
          </a:r>
          <a:r>
            <a:rPr lang="zh-CN" altLang="en-US" sz="900">
              <a:latin typeface="微软雅黑" panose="020B0503020204020204" pitchFamily="2" charset="-122"/>
              <a:ea typeface="微软雅黑" panose="020B0503020204020204" pitchFamily="2" charset="-122"/>
            </a:rPr>
            <a:t>年在线招聘数据库的数据监测统计分析</a:t>
          </a:r>
          <a:endParaRPr lang="zh-CN" altLang="en-US" sz="900">
            <a:latin typeface="微软雅黑" panose="020B0503020204020204" pitchFamily="2" charset="-122"/>
            <a:ea typeface="微软雅黑" panose="020B0503020204020204" pitchFamily="2" charset="-122"/>
          </a:endParaRPr>
        </a:p>
      </cdr:txBody>
    </cdr:sp>
  </cdr:relSizeAnchor>
  <cdr:relSizeAnchor xmlns:cdr="http://schemas.openxmlformats.org/drawingml/2006/chartDrawing">
    <cdr:from>
      <cdr:x>0.81638</cdr:x>
      <cdr:y>0.84455</cdr:y>
    </cdr:from>
    <cdr:to>
      <cdr:x>0.97731</cdr:x>
      <cdr:y>0.91282</cdr:y>
    </cdr:to>
    <cdr:pic xmlns:a="http://schemas.openxmlformats.org/drawingml/2006/main">
      <cdr:nvPicPr>
        <cdr:cNvPr id="9" name="图片 8"/>
        <cdr:cNvPicPr/>
      </cdr:nvPicPr>
      <cdr:blipFill>
        <a:blip xmlns:r="http://schemas.openxmlformats.org/officeDocument/2006/relationships" r:embed="rId1">
          <a:extLst>
            <a:ext uri="{28A0092B-C50C-407E-A947-70E740481C1C}">
              <a14:useLocalDpi xmlns:a14="http://schemas.microsoft.com/office/drawing/2010/main" val="0"/>
            </a:ext>
          </a:extLst>
        </a:blip>
        <a:srcRect/>
        <a:stretch>
          <a:fillRect/>
        </a:stretch>
      </cdr:blipFill>
      <cdr:spPr>
        <a:xfrm>
          <a:off x="4302728" y="2913659"/>
          <a:ext cx="848183" cy="235529"/>
        </a:xfrm>
        <a:prstGeom prst="rect">
          <a:avLst/>
        </a:prstGeom>
      </cdr:spPr>
    </cdr:pic>
  </cdr:relSizeAnchor>
</c:userShapes>
</file>

<file path=word/drawings/drawing7.xml><?xml version="1.0" encoding="utf-8"?>
<c:userShapes xmlns:c="http://schemas.openxmlformats.org/drawingml/2006/chart">
  <cdr:relSizeAnchor xmlns:cdr="http://schemas.openxmlformats.org/drawingml/2006/chartDrawing">
    <cdr:from>
      <cdr:x>0.03687</cdr:x>
      <cdr:y>0.85832</cdr:y>
    </cdr:from>
    <cdr:to>
      <cdr:x>0.734</cdr:x>
      <cdr:y>0.92043</cdr:y>
    </cdr:to>
    <cdr:sp>
      <cdr:nvSpPr>
        <cdr:cNvPr id="2" name="矩形 1"/>
        <cdr:cNvSpPr/>
      </cdr:nvSpPr>
      <cdr:spPr xmlns:a="http://schemas.openxmlformats.org/drawingml/2006/main">
        <a:xfrm xmlns:a="http://schemas.openxmlformats.org/drawingml/2006/main">
          <a:off x="194323" y="3282753"/>
          <a:ext cx="3674224" cy="237528"/>
        </a:xfrm>
        <a:prstGeom xmlns:a="http://schemas.openxmlformats.org/drawingml/2006/main" prst="rect">
          <a:avLst/>
        </a:prstGeom>
        <a:noFill/>
      </cdr:spPr>
      <cdr:txBody xmlns:a="http://schemas.openxmlformats.org/drawingml/2006/main">
        <a:bodyPr vertOverflow="clip" vert="horz" wrap="square" lIns="45720" tIns="45720" rIns="45720" bIns="45720" rtlCol="0" anchor="t" anchorCtr="0">
          <a:normAutofit/>
        </a:bodyPr>
        <a:lstStyle/>
        <a:p>
          <a:r>
            <a:rPr lang="zh-CN" altLang="en-US" sz="900">
              <a:effectLst/>
              <a:latin typeface="微软雅黑" panose="020B0503020204020204" pitchFamily="2" charset="-122"/>
              <a:ea typeface="微软雅黑" panose="020B0503020204020204" pitchFamily="2" charset="-122"/>
              <a:cs typeface="+mn-cs"/>
            </a:rPr>
            <a:t>数据来源：智联招聘（</a:t>
          </a:r>
          <a:r>
            <a:rPr lang="en-US" altLang="zh-CN" sz="900">
              <a:effectLst/>
              <a:latin typeface="微软雅黑" panose="020B0503020204020204" pitchFamily="2" charset="-122"/>
              <a:ea typeface="微软雅黑" panose="020B0503020204020204" pitchFamily="2" charset="-122"/>
              <a:cs typeface="+mn-cs"/>
            </a:rPr>
            <a:t>www.zhaopin.com</a:t>
          </a:r>
          <a:r>
            <a:rPr lang="zh-CN" altLang="en-US" sz="900">
              <a:effectLst/>
              <a:latin typeface="微软雅黑" panose="020B0503020204020204" pitchFamily="2" charset="-122"/>
              <a:ea typeface="微软雅黑" panose="020B0503020204020204" pitchFamily="2" charset="-122"/>
              <a:cs typeface="+mn-cs"/>
            </a:rPr>
            <a:t>）</a:t>
          </a:r>
          <a:endParaRPr lang="zh-CN" altLang="zh-CN" sz="900">
            <a:effectLst/>
            <a:latin typeface="微软雅黑" panose="020B0503020204020204" pitchFamily="2" charset="-122"/>
            <a:ea typeface="微软雅黑" panose="020B0503020204020204" pitchFamily="2" charset="-122"/>
          </a:endParaRPr>
        </a:p>
      </cdr:txBody>
    </cdr:sp>
  </cdr:relSizeAnchor>
  <cdr:relSizeAnchor xmlns:cdr="http://schemas.openxmlformats.org/drawingml/2006/chartDrawing">
    <cdr:from>
      <cdr:x>0.04079</cdr:x>
      <cdr:y>0.81714</cdr:y>
    </cdr:from>
    <cdr:to>
      <cdr:x>0.17581</cdr:x>
      <cdr:y>0.92381</cdr:y>
    </cdr:to>
    <cdr:sp>
      <cdr:nvSpPr>
        <cdr:cNvPr id="3" name="矩形 2"/>
        <cdr:cNvSpPr/>
      </cdr:nvSpPr>
      <cdr:spPr xmlns:a="http://schemas.openxmlformats.org/drawingml/2006/main">
        <a:xfrm xmlns:a="http://schemas.openxmlformats.org/drawingml/2006/main">
          <a:off x="276226" y="4086225"/>
          <a:ext cx="914400" cy="533400"/>
        </a:xfrm>
        <a:prstGeom xmlns:a="http://schemas.openxmlformats.org/drawingml/2006/main" prst="rect">
          <a:avLst/>
        </a:prstGeom>
      </cdr:spPr>
      <cdr:txBody xmlns:a="http://schemas.openxmlformats.org/drawingml/2006/main">
        <a:bodyPr vertOverflow="clip" vert="horz" wrap="none" lIns="45720" tIns="45720" rIns="45720" bIns="45720" rtlCol="0" anchor="t" anchorCtr="0">
          <a:normAutofit/>
        </a:bodyPr>
        <a:lstStyle/>
        <a:p>
          <a:endParaRPr lang="zh-CN" altLang="en-US" sz="1100"/>
        </a:p>
      </cdr:txBody>
    </cdr:sp>
  </cdr:relSizeAnchor>
  <cdr:relSizeAnchor xmlns:cdr="http://schemas.openxmlformats.org/drawingml/2006/chartDrawing">
    <cdr:from>
      <cdr:x>0.01834</cdr:x>
      <cdr:y>0.83345</cdr:y>
    </cdr:from>
    <cdr:to>
      <cdr:x>0.03946</cdr:x>
      <cdr:y>0.86644</cdr:y>
    </cdr:to>
    <cdr:sp>
      <cdr:nvSpPr>
        <cdr:cNvPr id="4" name="矩形 3"/>
        <cdr:cNvSpPr/>
      </cdr:nvSpPr>
      <cdr:spPr xmlns:a="http://schemas.openxmlformats.org/drawingml/2006/main">
        <a:xfrm xmlns:a="http://schemas.openxmlformats.org/drawingml/2006/main">
          <a:off x="118777" y="3448545"/>
          <a:ext cx="136782" cy="136502"/>
        </a:xfrm>
        <a:prstGeom xmlns:a="http://schemas.openxmlformats.org/drawingml/2006/main" prst="rect">
          <a:avLst/>
        </a:prstGeom>
        <a:solidFill>
          <a:srgbClr val="FDD000"/>
        </a:solidFill>
        <a:l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xmlns:a="http://schemas.openxmlformats.org/drawingml/2006/main">
        <a:bodyPr vertOverflow="clip" vert="horz" wrap="none" lIns="45720" tIns="45720" rIns="45720" bIns="45720" anchor="t" anchorCtr="0">
          <a:normAutofit/>
        </a:bodyPr>
        <a:lstStyle/>
        <a:p>
          <a:endParaRPr lang="zh-CN"/>
        </a:p>
      </cdr:txBody>
    </cdr:sp>
  </cdr:relSizeAnchor>
  <cdr:relSizeAnchor xmlns:cdr="http://schemas.openxmlformats.org/drawingml/2006/chartDrawing">
    <cdr:from>
      <cdr:x>0.01834</cdr:x>
      <cdr:y>0.88121</cdr:y>
    </cdr:from>
    <cdr:to>
      <cdr:x>0.03946</cdr:x>
      <cdr:y>0.9142</cdr:y>
    </cdr:to>
    <cdr:sp>
      <cdr:nvSpPr>
        <cdr:cNvPr id="5" name="矩形 4"/>
        <cdr:cNvSpPr/>
      </cdr:nvSpPr>
      <cdr:spPr xmlns:a="http://schemas.openxmlformats.org/drawingml/2006/main">
        <a:xfrm xmlns:a="http://schemas.openxmlformats.org/drawingml/2006/main">
          <a:off x="118777" y="3646161"/>
          <a:ext cx="136782" cy="136501"/>
        </a:xfrm>
        <a:prstGeom xmlns:a="http://schemas.openxmlformats.org/drawingml/2006/main" prst="rect">
          <a:avLst/>
        </a:prstGeom>
        <a:solidFill>
          <a:srgbClr val="1B45F6"/>
        </a:solidFill>
        <a:l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xmlns:a="http://schemas.openxmlformats.org/drawingml/2006/main">
        <a:bodyPr vertOverflow="clip" vert="horz" wrap="none" lIns="45720" tIns="45720" rIns="45720" bIns="45720" anchor="t" anchorCtr="0">
          <a:normAutofit/>
        </a:bodyPr>
        <a:lstStyle/>
        <a:p>
          <a:endParaRPr lang="zh-CN"/>
        </a:p>
      </cdr:txBody>
    </cdr:sp>
  </cdr:relSizeAnchor>
  <cdr:relSizeAnchor xmlns:cdr="http://schemas.openxmlformats.org/drawingml/2006/chartDrawing">
    <cdr:from>
      <cdr:x>0.01969</cdr:x>
      <cdr:y>0.92762</cdr:y>
    </cdr:from>
    <cdr:to>
      <cdr:x>0.98172</cdr:x>
      <cdr:y>0.92762</cdr:y>
    </cdr:to>
    <cdr:sp>
      <cdr:nvSpPr>
        <cdr:cNvPr id="6" name="直接连接符 5"/>
        <cdr:cNvSpPr/>
      </cdr:nvSpPr>
      <cdr:spPr xmlns:a="http://schemas.openxmlformats.org/drawingml/2006/main">
        <a:xfrm xmlns:a="http://schemas.openxmlformats.org/drawingml/2006/main">
          <a:off x="115529" y="4241079"/>
          <a:ext cx="6102171" cy="0"/>
        </a:xfrm>
        <a:prstGeom xmlns:a="http://schemas.openxmlformats.org/drawingml/2006/main" prst="line">
          <a:avLst/>
        </a:prstGeom>
        <a:l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sp>
  </cdr:relSizeAnchor>
  <cdr:relSizeAnchor xmlns:cdr="http://schemas.openxmlformats.org/drawingml/2006/chartDrawing">
    <cdr:from>
      <cdr:x>0.03938</cdr:x>
      <cdr:y>0.92</cdr:y>
    </cdr:from>
    <cdr:to>
      <cdr:x>0.60095</cdr:x>
      <cdr:y>0.9973</cdr:y>
    </cdr:to>
    <cdr:sp>
      <cdr:nvSpPr>
        <cdr:cNvPr id="7" name="矩形 6"/>
        <cdr:cNvSpPr/>
      </cdr:nvSpPr>
      <cdr:spPr xmlns:a="http://schemas.openxmlformats.org/drawingml/2006/main">
        <a:xfrm xmlns:a="http://schemas.openxmlformats.org/drawingml/2006/main">
          <a:off x="255041" y="3815424"/>
          <a:ext cx="3636952" cy="320579"/>
        </a:xfrm>
        <a:prstGeom xmlns:a="http://schemas.openxmlformats.org/drawingml/2006/main" prst="rect">
          <a:avLst/>
        </a:prstGeom>
      </cdr:spPr>
      <cdr:txBody xmlns:a="http://schemas.openxmlformats.org/drawingml/2006/main">
        <a:bodyPr vertOverflow="clip" vert="horz" wrap="square" lIns="45720" tIns="45720" rIns="45720" bIns="45720" rtlCol="0" anchor="t" anchorCtr="0">
          <a:normAutofit/>
        </a:bodyPr>
        <a:lstStyle/>
        <a:p>
          <a:r>
            <a:rPr lang="en-US" altLang="zh-CN" sz="900">
              <a:effectLst/>
              <a:latin typeface="微软雅黑" panose="020B0503020204020204" pitchFamily="2" charset="-122"/>
              <a:ea typeface="微软雅黑" panose="020B0503020204020204" pitchFamily="2" charset="-122"/>
              <a:cs typeface="+mn-cs"/>
            </a:rPr>
            <a:t>Copyright©2021 zhaopin all rights reserved</a:t>
          </a:r>
          <a:endParaRPr lang="zh-CN" altLang="zh-CN" sz="900">
            <a:effectLst/>
            <a:latin typeface="微软雅黑" panose="020B0503020204020204" pitchFamily="2" charset="-122"/>
            <a:ea typeface="微软雅黑" panose="020B0503020204020204" pitchFamily="2" charset="-122"/>
          </a:endParaRPr>
        </a:p>
      </cdr:txBody>
    </cdr:sp>
  </cdr:relSizeAnchor>
  <cdr:relSizeAnchor xmlns:cdr="http://schemas.openxmlformats.org/drawingml/2006/chartDrawing">
    <cdr:from>
      <cdr:x>0.03687</cdr:x>
      <cdr:y>0.81378</cdr:y>
    </cdr:from>
    <cdr:to>
      <cdr:x>0.8594</cdr:x>
      <cdr:y>0.87326</cdr:y>
    </cdr:to>
    <cdr:sp>
      <cdr:nvSpPr>
        <cdr:cNvPr id="8" name="矩形 7"/>
        <cdr:cNvSpPr/>
      </cdr:nvSpPr>
      <cdr:spPr xmlns:a="http://schemas.openxmlformats.org/drawingml/2006/main">
        <a:xfrm xmlns:a="http://schemas.openxmlformats.org/drawingml/2006/main">
          <a:off x="194323" y="3112368"/>
          <a:ext cx="4335145" cy="227507"/>
        </a:xfrm>
        <a:prstGeom xmlns:a="http://schemas.openxmlformats.org/drawingml/2006/main" prst="rect">
          <a:avLst/>
        </a:prstGeom>
        <a:noFill/>
      </cdr:spPr>
      <cdr:txBody xmlns:a="http://schemas.openxmlformats.org/drawingml/2006/main">
        <a:bodyPr vertOverflow="clip" vert="horz" wrap="square" lIns="45720" tIns="45720" rIns="45720" bIns="45720" rtlCol="0" anchor="t" anchorCtr="0">
          <a:normAutofit/>
        </a:bodyPr>
        <a:lstStyle/>
        <a:p>
          <a:r>
            <a:rPr lang="zh-CN" altLang="en-US" sz="900">
              <a:latin typeface="微软雅黑" panose="020B0503020204020204" pitchFamily="2" charset="-122"/>
              <a:ea typeface="微软雅黑" panose="020B0503020204020204" pitchFamily="2" charset="-122"/>
            </a:rPr>
            <a:t>统计规则：基于智联招聘</a:t>
          </a:r>
          <a:r>
            <a:rPr lang="en-US" altLang="zh-CN" sz="900">
              <a:latin typeface="微软雅黑" panose="020B0503020204020204" pitchFamily="2" charset="-122"/>
              <a:ea typeface="微软雅黑" panose="020B0503020204020204" pitchFamily="2" charset="-122"/>
            </a:rPr>
            <a:t>2021</a:t>
          </a:r>
          <a:r>
            <a:rPr lang="zh-CN" altLang="en-US" sz="900">
              <a:latin typeface="微软雅黑" panose="020B0503020204020204" pitchFamily="2" charset="-122"/>
              <a:ea typeface="微软雅黑" panose="020B0503020204020204" pitchFamily="2" charset="-122"/>
            </a:rPr>
            <a:t>年春季在线招聘数据库的数据监测统计分析</a:t>
          </a:r>
          <a:endParaRPr lang="zh-CN" altLang="en-US" sz="900">
            <a:latin typeface="微软雅黑" panose="020B0503020204020204" pitchFamily="2" charset="-122"/>
            <a:ea typeface="微软雅黑" panose="020B0503020204020204" pitchFamily="2" charset="-122"/>
          </a:endParaRPr>
        </a:p>
      </cdr:txBody>
    </cdr:sp>
  </cdr:relSizeAnchor>
  <cdr:relSizeAnchor xmlns:cdr="http://schemas.openxmlformats.org/drawingml/2006/chartDrawing">
    <cdr:from>
      <cdr:x>0.04004</cdr:x>
      <cdr:y>0.11081</cdr:y>
    </cdr:from>
    <cdr:to>
      <cdr:x>0.09375</cdr:x>
      <cdr:y>0.4</cdr:y>
    </cdr:to>
    <cdr:sp>
      <cdr:nvSpPr>
        <cdr:cNvPr id="9" name="矩形 8"/>
        <cdr:cNvSpPr/>
      </cdr:nvSpPr>
      <cdr:spPr xmlns:a="http://schemas.openxmlformats.org/drawingml/2006/main">
        <a:xfrm xmlns:a="http://schemas.openxmlformats.org/drawingml/2006/main">
          <a:off x="211031" y="423804"/>
          <a:ext cx="283086" cy="1106038"/>
        </a:xfrm>
        <a:prstGeom xmlns:a="http://schemas.openxmlformats.org/drawingml/2006/main" prst="rect">
          <a:avLst/>
        </a:prstGeom>
      </cdr:spPr>
      <cdr:txBody xmlns:a="http://schemas.openxmlformats.org/drawingml/2006/main">
        <a:bodyPr vertOverflow="clip" vert="eaVert" wrap="square" lIns="45720" tIns="45720" rIns="45720" bIns="45720" rtlCol="0" anchor="t" anchorCtr="0">
          <a:normAutofit/>
        </a:bodyPr>
        <a:lstStyle/>
        <a:p>
          <a:r>
            <a:rPr lang="zh-CN" altLang="en-US" sz="1000">
              <a:latin typeface="微软雅黑" panose="020B0503020204020204" pitchFamily="2" charset="-122"/>
              <a:ea typeface="微软雅黑" panose="020B0503020204020204" pitchFamily="2" charset="-122"/>
            </a:rPr>
            <a:t>单位：元</a:t>
          </a:r>
          <a:r>
            <a:rPr lang="en-US" altLang="zh-CN" sz="1000">
              <a:latin typeface="微软雅黑" panose="020B0503020204020204" pitchFamily="2" charset="-122"/>
              <a:ea typeface="微软雅黑" panose="020B0503020204020204" pitchFamily="2" charset="-122"/>
            </a:rPr>
            <a:t>/</a:t>
          </a:r>
          <a:r>
            <a:rPr lang="zh-CN" altLang="en-US" sz="1000">
              <a:latin typeface="微软雅黑" panose="020B0503020204020204" pitchFamily="2" charset="-122"/>
              <a:ea typeface="微软雅黑" panose="020B0503020204020204" pitchFamily="2" charset="-122"/>
            </a:rPr>
            <a:t>月</a:t>
          </a:r>
          <a:endParaRPr lang="zh-CN" altLang="en-US" sz="1000">
            <a:latin typeface="微软雅黑" panose="020B0503020204020204" pitchFamily="2" charset="-122"/>
            <a:ea typeface="微软雅黑" panose="020B0503020204020204" pitchFamily="2" charset="-122"/>
          </a:endParaRPr>
        </a:p>
      </cdr:txBody>
    </cdr:sp>
  </cdr:relSizeAnchor>
  <cdr:relSizeAnchor xmlns:cdr="http://schemas.openxmlformats.org/drawingml/2006/chartDrawing">
    <cdr:from>
      <cdr:x>0.83495</cdr:x>
      <cdr:y>0.8512</cdr:y>
    </cdr:from>
    <cdr:to>
      <cdr:x>0.98107</cdr:x>
      <cdr:y>0.91034</cdr:y>
    </cdr:to>
    <cdr:pic xmlns:a="http://schemas.openxmlformats.org/drawingml/2006/main">
      <cdr:nvPicPr>
        <cdr:cNvPr id="10" name="图片 9"/>
        <cdr:cNvPicPr/>
      </cdr:nvPicPr>
      <cdr: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cdr:blipFill>
      <cdr:spPr>
        <a:xfrm>
          <a:off x="5270500" y="3898900"/>
          <a:ext cx="922367" cy="270880"/>
        </a:xfrm>
        <a:prstGeom prst="rect">
          <a:avLst/>
        </a:prstGeom>
      </cdr:spPr>
    </cdr:pic>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680</Words>
  <Characters>3880</Characters>
  <Lines>32</Lines>
  <Paragraphs>9</Paragraphs>
  <TotalTime>226</TotalTime>
  <ScaleCrop>false</ScaleCrop>
  <LinksUpToDate>false</LinksUpToDate>
  <CharactersWithSpaces>4551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2021-03-30T09:46:00Z</dcterms:created>
  <dc:creator>HONGCI SHEN</dc:creator>
  <cp:lastModifiedBy>icy</cp:lastModifiedBy>
  <dcterms:modified xsi:type="dcterms:W3CDTF">2022-03-07T10:29:01Z</dcterms:modified>
  <cp:revision>254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063D14B8508840C2809C4CC9474FBAD9</vt:lpwstr>
  </property>
</Properties>
</file>